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eastAsia="华文中宋"/>
          <w:b/>
          <w:kern w:val="0"/>
          <w:sz w:val="52"/>
          <w:szCs w:val="52"/>
        </w:rPr>
      </w:pPr>
      <w:bookmarkStart w:id="5" w:name="_GoBack"/>
      <w:bookmarkEnd w:id="5"/>
    </w:p>
    <w:p>
      <w:pPr>
        <w:spacing w:line="540" w:lineRule="exact"/>
        <w:rPr>
          <w:rFonts w:eastAsia="华文中宋"/>
          <w:b/>
          <w:kern w:val="0"/>
          <w:sz w:val="52"/>
          <w:szCs w:val="52"/>
        </w:rPr>
      </w:pPr>
    </w:p>
    <w:p>
      <w:pPr>
        <w:spacing w:line="540" w:lineRule="exact"/>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hint="eastAsia" w:ascii="方正小标宋_GBK" w:hAnsi="方正小标宋_GBK" w:eastAsia="方正小标宋_GBK" w:cs="方正小标宋_GBK"/>
          <w:kern w:val="0"/>
          <w:sz w:val="44"/>
          <w:szCs w:val="44"/>
        </w:rPr>
      </w:pPr>
      <w:r>
        <w:rPr>
          <w:rFonts w:hint="eastAsia" w:ascii="方正小标宋_GBK" w:hAnsi="方正小标宋_GBK" w:eastAsia="方正小标宋_GBK" w:cs="方正小标宋_GBK"/>
          <w:kern w:val="0"/>
          <w:sz w:val="44"/>
          <w:szCs w:val="44"/>
        </w:rPr>
        <w:t>2024年度</w:t>
      </w:r>
      <w:bookmarkStart w:id="0" w:name="_Hlk194940944"/>
      <w:r>
        <w:rPr>
          <w:rFonts w:hint="eastAsia" w:ascii="方正小标宋_GBK" w:hAnsi="方正小标宋_GBK" w:eastAsia="方正小标宋_GBK" w:cs="方正小标宋_GBK"/>
          <w:kern w:val="0"/>
          <w:sz w:val="44"/>
          <w:szCs w:val="44"/>
        </w:rPr>
        <w:t>数字化发展专项业务经费</w:t>
      </w:r>
      <w:bookmarkEnd w:id="0"/>
      <w:r>
        <w:rPr>
          <w:rFonts w:hint="eastAsia" w:ascii="方正小标宋_GBK" w:hAnsi="方正小标宋_GBK" w:eastAsia="方正小标宋_GBK" w:cs="方正小标宋_GBK"/>
          <w:kern w:val="0"/>
          <w:sz w:val="44"/>
          <w:szCs w:val="44"/>
        </w:rPr>
        <w:t>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（2024年度）</w:t>
      </w:r>
    </w:p>
    <w:p>
      <w:pPr>
        <w:spacing w:line="540" w:lineRule="exact"/>
        <w:rPr>
          <w:rFonts w:eastAsia="仿宋_GB2312"/>
          <w:kern w:val="0"/>
          <w:sz w:val="30"/>
          <w:szCs w:val="30"/>
        </w:rPr>
      </w:pPr>
    </w:p>
    <w:p>
      <w:pPr>
        <w:spacing w:line="540" w:lineRule="exact"/>
        <w:rPr>
          <w:rFonts w:eastAsia="仿宋_GB2312"/>
          <w:kern w:val="0"/>
          <w:sz w:val="30"/>
          <w:szCs w:val="30"/>
        </w:rPr>
      </w:pPr>
    </w:p>
    <w:p>
      <w:pPr>
        <w:spacing w:line="540" w:lineRule="exact"/>
        <w:rPr>
          <w:rFonts w:eastAsia="仿宋_GB2312"/>
          <w:kern w:val="0"/>
          <w:sz w:val="30"/>
          <w:szCs w:val="30"/>
        </w:rPr>
      </w:pPr>
    </w:p>
    <w:p>
      <w:pPr>
        <w:spacing w:line="540" w:lineRule="exact"/>
        <w:rPr>
          <w:rFonts w:eastAsia="仿宋_GB2312"/>
          <w:kern w:val="0"/>
          <w:sz w:val="30"/>
          <w:szCs w:val="30"/>
        </w:rPr>
      </w:pPr>
    </w:p>
    <w:p>
      <w:pPr>
        <w:spacing w:line="540" w:lineRule="exact"/>
        <w:rPr>
          <w:rFonts w:eastAsia="仿宋_GB2312"/>
          <w:kern w:val="0"/>
          <w:sz w:val="30"/>
          <w:szCs w:val="30"/>
        </w:rPr>
      </w:pPr>
    </w:p>
    <w:p>
      <w:pPr>
        <w:spacing w:line="540" w:lineRule="exact"/>
        <w:rPr>
          <w:rFonts w:eastAsia="仿宋_GB2312"/>
          <w:kern w:val="0"/>
          <w:sz w:val="30"/>
          <w:szCs w:val="30"/>
        </w:rPr>
      </w:pPr>
    </w:p>
    <w:p>
      <w:pPr>
        <w:spacing w:line="540" w:lineRule="exact"/>
        <w:rPr>
          <w:rFonts w:eastAsia="仿宋_GB2312"/>
          <w:kern w:val="0"/>
          <w:sz w:val="30"/>
          <w:szCs w:val="30"/>
        </w:rPr>
      </w:pPr>
    </w:p>
    <w:p>
      <w:pPr>
        <w:spacing w:line="540" w:lineRule="exact"/>
        <w:rPr>
          <w:rFonts w:eastAsia="仿宋_GB2312"/>
          <w:kern w:val="0"/>
          <w:sz w:val="30"/>
          <w:szCs w:val="30"/>
        </w:rPr>
      </w:pPr>
    </w:p>
    <w:p>
      <w:pPr>
        <w:spacing w:line="540" w:lineRule="exact"/>
        <w:rPr>
          <w:rFonts w:eastAsia="仿宋_GB2312"/>
          <w:kern w:val="0"/>
          <w:sz w:val="30"/>
          <w:szCs w:val="30"/>
        </w:rPr>
      </w:pPr>
    </w:p>
    <w:p>
      <w:pPr>
        <w:spacing w:line="700" w:lineRule="exact"/>
        <w:ind w:firstLine="1280" w:firstLineChars="400"/>
        <w:rPr>
          <w:rFonts w:eastAsia="仿宋_GB2312"/>
          <w:kern w:val="0"/>
          <w:sz w:val="32"/>
          <w:szCs w:val="32"/>
        </w:rPr>
      </w:pPr>
      <w:r>
        <w:rPr>
          <w:rFonts w:eastAsia="仿宋_GB2312"/>
          <w:kern w:val="0"/>
          <w:sz w:val="32"/>
          <w:szCs w:val="32"/>
        </w:rPr>
        <w:t>项目名称：数字化发展专项</w:t>
      </w:r>
      <w:r>
        <w:rPr>
          <w:rFonts w:hint="eastAsia" w:eastAsia="仿宋_GB2312"/>
          <w:kern w:val="0"/>
          <w:sz w:val="32"/>
          <w:szCs w:val="32"/>
        </w:rPr>
        <w:t>业务</w:t>
      </w:r>
      <w:r>
        <w:rPr>
          <w:rFonts w:eastAsia="仿宋_GB2312"/>
          <w:kern w:val="0"/>
          <w:sz w:val="32"/>
          <w:szCs w:val="32"/>
        </w:rPr>
        <w:t>经费</w:t>
      </w:r>
    </w:p>
    <w:p>
      <w:pPr>
        <w:spacing w:line="700" w:lineRule="exact"/>
        <w:ind w:firstLine="1280" w:firstLineChars="400"/>
        <w:rPr>
          <w:rFonts w:eastAsia="仿宋_GB2312"/>
          <w:kern w:val="0"/>
          <w:sz w:val="32"/>
          <w:szCs w:val="32"/>
        </w:rPr>
      </w:pPr>
      <w:r>
        <w:rPr>
          <w:rFonts w:eastAsia="仿宋_GB2312"/>
          <w:kern w:val="0"/>
          <w:sz w:val="32"/>
          <w:szCs w:val="32"/>
        </w:rPr>
        <w:t>实施单位（公章）：新疆维吾尔自治区数字化发展局</w:t>
      </w:r>
    </w:p>
    <w:p>
      <w:pPr>
        <w:spacing w:line="700" w:lineRule="exact"/>
        <w:ind w:firstLine="1280" w:firstLineChars="400"/>
        <w:rPr>
          <w:rFonts w:eastAsia="仿宋_GB2312"/>
          <w:kern w:val="0"/>
          <w:sz w:val="32"/>
          <w:szCs w:val="32"/>
        </w:rPr>
      </w:pPr>
      <w:r>
        <w:rPr>
          <w:rFonts w:eastAsia="仿宋_GB2312"/>
          <w:kern w:val="0"/>
          <w:sz w:val="32"/>
          <w:szCs w:val="32"/>
        </w:rPr>
        <w:t>主管部门（公章）：新疆维吾尔自治区数字化发展局</w:t>
      </w:r>
    </w:p>
    <w:p>
      <w:pPr>
        <w:spacing w:line="700" w:lineRule="exact"/>
        <w:ind w:firstLine="1280" w:firstLineChars="400"/>
        <w:rPr>
          <w:rFonts w:eastAsia="仿宋_GB2312"/>
          <w:kern w:val="0"/>
          <w:sz w:val="32"/>
          <w:szCs w:val="32"/>
        </w:rPr>
      </w:pPr>
      <w:r>
        <w:rPr>
          <w:rFonts w:eastAsia="仿宋_GB2312"/>
          <w:kern w:val="0"/>
          <w:sz w:val="32"/>
          <w:szCs w:val="32"/>
        </w:rPr>
        <w:t>项目负责人（签章）：</w:t>
      </w:r>
      <w:r>
        <w:rPr>
          <w:rFonts w:hint="eastAsia" w:eastAsia="仿宋_GB2312"/>
          <w:kern w:val="0"/>
          <w:sz w:val="32"/>
          <w:szCs w:val="32"/>
        </w:rPr>
        <w:t>李长修</w:t>
      </w:r>
    </w:p>
    <w:p>
      <w:pPr>
        <w:spacing w:line="700" w:lineRule="exact"/>
        <w:ind w:firstLine="1280" w:firstLineChars="400"/>
        <w:rPr>
          <w:rFonts w:eastAsia="仿宋_GB2312"/>
          <w:kern w:val="0"/>
          <w:sz w:val="32"/>
          <w:szCs w:val="32"/>
        </w:rPr>
      </w:pPr>
      <w:r>
        <w:rPr>
          <w:rFonts w:eastAsia="仿宋_GB2312"/>
          <w:kern w:val="0"/>
          <w:sz w:val="32"/>
          <w:szCs w:val="32"/>
        </w:rPr>
        <w:t>填报时间：2025年4月7日</w:t>
      </w:r>
    </w:p>
    <w:p>
      <w:pPr>
        <w:spacing w:line="540" w:lineRule="exact"/>
        <w:rPr>
          <w:rFonts w:eastAsia="仿宋_GB2312"/>
          <w:kern w:val="0"/>
          <w:sz w:val="32"/>
          <w:szCs w:val="32"/>
        </w:rPr>
      </w:pPr>
    </w:p>
    <w:p>
      <w:pPr>
        <w:spacing w:line="560" w:lineRule="exact"/>
        <w:rPr>
          <w:rFonts w:eastAsia="黑体"/>
          <w:bCs/>
          <w:sz w:val="32"/>
          <w:szCs w:val="32"/>
        </w:rPr>
        <w:sectPr>
          <w:pgSz w:w="11906" w:h="16838"/>
          <w:pgMar w:top="1440" w:right="1558" w:bottom="1440" w:left="1800" w:header="851" w:footer="992" w:gutter="0"/>
          <w:pgNumType w:fmt="numberInDash"/>
          <w:cols w:space="720" w:num="1"/>
          <w:docGrid w:type="lines" w:linePitch="312" w:charSpace="0"/>
        </w:sectPr>
      </w:pPr>
    </w:p>
    <w:p>
      <w:pPr>
        <w:spacing w:line="600" w:lineRule="exact"/>
        <w:ind w:firstLine="640" w:firstLineChars="200"/>
        <w:rPr>
          <w:rFonts w:eastAsia="黑体"/>
          <w:bCs/>
          <w:sz w:val="32"/>
          <w:szCs w:val="32"/>
        </w:rPr>
      </w:pPr>
      <w:r>
        <w:rPr>
          <w:rFonts w:eastAsia="黑体"/>
          <w:bCs/>
          <w:sz w:val="32"/>
          <w:szCs w:val="32"/>
        </w:rPr>
        <w:t>一、基本情况</w:t>
      </w:r>
    </w:p>
    <w:p>
      <w:pPr>
        <w:spacing w:line="600" w:lineRule="exact"/>
        <w:ind w:firstLine="643" w:firstLineChars="200"/>
        <w:rPr>
          <w:rFonts w:eastAsia="楷体_GB2312"/>
          <w:b/>
          <w:bCs/>
          <w:sz w:val="32"/>
          <w:szCs w:val="32"/>
        </w:rPr>
      </w:pPr>
      <w:r>
        <w:rPr>
          <w:rFonts w:eastAsia="楷体_GB2312"/>
          <w:b/>
          <w:bCs/>
          <w:sz w:val="32"/>
          <w:szCs w:val="32"/>
        </w:rPr>
        <w:t>（一）项目概况</w:t>
      </w:r>
    </w:p>
    <w:p>
      <w:pPr>
        <w:spacing w:line="600" w:lineRule="exact"/>
        <w:ind w:firstLine="643" w:firstLineChars="200"/>
        <w:rPr>
          <w:rFonts w:eastAsia="仿宋_GB2312"/>
          <w:b/>
          <w:bCs/>
          <w:sz w:val="32"/>
          <w:szCs w:val="32"/>
        </w:rPr>
      </w:pPr>
      <w:r>
        <w:rPr>
          <w:rFonts w:eastAsia="仿宋_GB2312"/>
          <w:b/>
          <w:bCs/>
          <w:sz w:val="32"/>
          <w:szCs w:val="32"/>
        </w:rPr>
        <w:t>1.项目背景</w:t>
      </w:r>
    </w:p>
    <w:p>
      <w:pPr>
        <w:spacing w:line="600" w:lineRule="exact"/>
        <w:ind w:firstLine="640" w:firstLineChars="200"/>
        <w:rPr>
          <w:rFonts w:eastAsia="仿宋_GB2312"/>
          <w:sz w:val="32"/>
          <w:szCs w:val="32"/>
          <w:lang w:bidi="ar"/>
        </w:rPr>
      </w:pPr>
      <w:r>
        <w:rPr>
          <w:rFonts w:eastAsia="仿宋_GB2312"/>
          <w:sz w:val="32"/>
          <w:szCs w:val="32"/>
          <w:lang w:bidi="ar"/>
        </w:rPr>
        <w:t>本项目根据</w:t>
      </w:r>
      <w:r>
        <w:rPr>
          <w:rFonts w:eastAsia="仿宋_GB2312"/>
          <w:sz w:val="32"/>
          <w:szCs w:val="32"/>
        </w:rPr>
        <w:t>《国务院关于加强数字政府建设的指导意见》（国发〔2022〕14号）：“</w:t>
      </w:r>
      <w:r>
        <w:rPr>
          <w:rFonts w:eastAsia="仿宋_GB2312"/>
          <w:sz w:val="32"/>
          <w:szCs w:val="32"/>
          <w:lang w:bidi="ar"/>
        </w:rPr>
        <w:t>依托全国一体化政务大数据体系，统筹整合现有政务云资源，构建全国一体化政务云平台体系，实现政务云资源统筹建设、互联互通、集约共享。推进数据开发利用、系统整合共享、共性办公应用、关键政务应用等标准制定，持续完善已有关键标准，推动构建多维标准规范体系。加大数字政府标准推广执行力度，建立评估验证机制，提升应用水平，以标准化促进数字政府建设规范化。研究设立全国数字政府标准化技术组织，统筹推进数字政府标准化工作”和《自治区数字政府改革建设方案》：“按照国家政务信息化标准规范体系要求，研究制定基础设施、数据共享、系统整合、共性应用、技术服务、业务管理、服务管理、安全管理和运营管理等方面标准规范，建立评估验证机制，加快提升全区数字政府改革建设标准规范应用水平”等相关政策文件与规定，研究制定完成政务信息化政策标准制定、编制完成数据一体化标准、完成公共数据授权和数据要素交易课题研究报告、完成自治区“一网统管”各类成果，更好地促进全区数字化发展工作。</w:t>
      </w:r>
    </w:p>
    <w:p>
      <w:pPr>
        <w:spacing w:line="600" w:lineRule="exact"/>
        <w:ind w:firstLine="643" w:firstLineChars="200"/>
        <w:rPr>
          <w:rFonts w:eastAsia="仿宋_GB2312"/>
          <w:b/>
          <w:bCs/>
          <w:sz w:val="32"/>
          <w:szCs w:val="32"/>
        </w:rPr>
      </w:pPr>
      <w:r>
        <w:rPr>
          <w:rFonts w:eastAsia="仿宋_GB2312"/>
          <w:b/>
          <w:bCs/>
          <w:sz w:val="32"/>
          <w:szCs w:val="32"/>
        </w:rPr>
        <w:t>2.项目主要内容及实施情况</w:t>
      </w:r>
    </w:p>
    <w:p>
      <w:pPr>
        <w:spacing w:line="600" w:lineRule="exact"/>
        <w:ind w:firstLine="640" w:firstLineChars="200"/>
        <w:rPr>
          <w:rStyle w:val="16"/>
          <w:rFonts w:eastAsia="仿宋_GB2312"/>
          <w:b w:val="0"/>
          <w:spacing w:val="-4"/>
          <w:sz w:val="32"/>
          <w:szCs w:val="32"/>
        </w:rPr>
      </w:pPr>
      <w:r>
        <w:rPr>
          <w:rFonts w:eastAsia="仿宋_GB2312"/>
          <w:sz w:val="32"/>
          <w:szCs w:val="32"/>
          <w:lang w:bidi="ar"/>
        </w:rPr>
        <w:t>项目资金主要用于弥</w:t>
      </w:r>
      <w:r>
        <w:rPr>
          <w:rStyle w:val="16"/>
          <w:rFonts w:eastAsia="仿宋_GB2312"/>
          <w:b w:val="0"/>
          <w:spacing w:val="-4"/>
          <w:sz w:val="32"/>
          <w:szCs w:val="32"/>
        </w:rPr>
        <w:t>补公用经费不足、日常运转费用、完成政务信息化政策标准制定、编制完成数据一体化标准、完成公共数据授权和数据要素交易课题研究报告、完成自治区“一网统管”各类成果</w:t>
      </w:r>
      <w:r>
        <w:rPr>
          <w:rFonts w:eastAsia="仿宋_GB2312"/>
          <w:bCs/>
          <w:spacing w:val="-4"/>
          <w:sz w:val="32"/>
          <w:szCs w:val="32"/>
        </w:rPr>
        <w:t>等一系列业务活动支出</w:t>
      </w:r>
      <w:r>
        <w:rPr>
          <w:rStyle w:val="16"/>
          <w:rFonts w:eastAsia="仿宋_GB2312"/>
          <w:b w:val="0"/>
          <w:spacing w:val="-4"/>
          <w:sz w:val="32"/>
          <w:szCs w:val="32"/>
        </w:rPr>
        <w:t>。</w:t>
      </w:r>
    </w:p>
    <w:p>
      <w:pPr>
        <w:spacing w:line="600" w:lineRule="exact"/>
        <w:ind w:firstLine="624" w:firstLineChars="200"/>
      </w:pPr>
      <w:r>
        <w:rPr>
          <w:rFonts w:eastAsia="仿宋_GB2312"/>
          <w:bCs/>
          <w:spacing w:val="-4"/>
          <w:sz w:val="32"/>
          <w:szCs w:val="32"/>
        </w:rPr>
        <w:t>项目实施情况：项目已完成</w:t>
      </w:r>
      <w:r>
        <w:rPr>
          <w:rFonts w:hint="eastAsia" w:eastAsia="仿宋_GB2312"/>
          <w:bCs/>
          <w:spacing w:val="-4"/>
          <w:sz w:val="32"/>
          <w:szCs w:val="32"/>
        </w:rPr>
        <w:t>年初</w:t>
      </w:r>
      <w:r>
        <w:rPr>
          <w:rFonts w:eastAsia="仿宋_GB2312"/>
          <w:bCs/>
          <w:spacing w:val="-4"/>
          <w:sz w:val="32"/>
          <w:szCs w:val="32"/>
        </w:rPr>
        <w:t>设立的绩效目标，在</w:t>
      </w:r>
      <w:r>
        <w:rPr>
          <w:rFonts w:hint="eastAsia" w:eastAsia="仿宋_GB2312"/>
          <w:bCs/>
          <w:spacing w:val="-4"/>
          <w:sz w:val="32"/>
          <w:szCs w:val="32"/>
        </w:rPr>
        <w:t>项目</w:t>
      </w:r>
      <w:r>
        <w:rPr>
          <w:rFonts w:eastAsia="仿宋_GB2312"/>
          <w:bCs/>
          <w:spacing w:val="-4"/>
          <w:sz w:val="32"/>
          <w:szCs w:val="32"/>
        </w:rPr>
        <w:t>实施过程中，</w:t>
      </w:r>
      <w:r>
        <w:rPr>
          <w:rFonts w:hint="eastAsia" w:eastAsia="仿宋_GB2312"/>
          <w:bCs/>
          <w:spacing w:val="-4"/>
          <w:sz w:val="32"/>
          <w:szCs w:val="32"/>
        </w:rPr>
        <w:t>加强内部沟通协调，</w:t>
      </w:r>
      <w:r>
        <w:rPr>
          <w:rFonts w:eastAsia="仿宋_GB2312"/>
          <w:bCs/>
          <w:spacing w:val="-4"/>
          <w:sz w:val="32"/>
          <w:szCs w:val="32"/>
        </w:rPr>
        <w:t>严格按照目标设立的各阶段任务开展工作，</w:t>
      </w:r>
      <w:r>
        <w:rPr>
          <w:rFonts w:hint="eastAsia" w:eastAsia="仿宋_GB2312"/>
          <w:bCs/>
          <w:spacing w:val="-4"/>
          <w:sz w:val="32"/>
          <w:szCs w:val="32"/>
        </w:rPr>
        <w:t>通过定期召开项目推进会、发送提醒函等方式，督促项目尽快实施，及时发现和解决项目中存在的问题，保证项目进度和质量稳步推进。加强对项目成本和风险的管理，在预算范围内严格控制成本支出，有效降低了项目成本，同时建立了风险评估和预警机制，及时应对各类风险，</w:t>
      </w:r>
      <w:r>
        <w:rPr>
          <w:rFonts w:eastAsia="仿宋_GB2312"/>
          <w:bCs/>
          <w:spacing w:val="-4"/>
          <w:sz w:val="32"/>
          <w:szCs w:val="32"/>
        </w:rPr>
        <w:t>保证项目实施各阶段顺利进行。</w:t>
      </w:r>
    </w:p>
    <w:p>
      <w:pPr>
        <w:spacing w:line="60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eastAsia="仿宋_GB2312"/>
          <w:sz w:val="32"/>
          <w:szCs w:val="32"/>
        </w:rPr>
      </w:pPr>
      <w:r>
        <w:rPr>
          <w:rFonts w:eastAsia="仿宋_GB2312"/>
          <w:sz w:val="32"/>
          <w:szCs w:val="32"/>
        </w:rPr>
        <w:t>（1）资金投入情况</w:t>
      </w:r>
    </w:p>
    <w:p>
      <w:pPr>
        <w:spacing w:line="600" w:lineRule="exact"/>
        <w:ind w:firstLine="640" w:firstLineChars="200"/>
        <w:outlineLvl w:val="0"/>
        <w:rPr>
          <w:rFonts w:eastAsia="仿宋_GB2312"/>
          <w:color w:val="FF0000"/>
          <w:sz w:val="32"/>
          <w:szCs w:val="32"/>
        </w:rPr>
      </w:pPr>
      <w:r>
        <w:rPr>
          <w:rFonts w:eastAsia="仿宋_GB2312"/>
          <w:sz w:val="32"/>
          <w:szCs w:val="32"/>
        </w:rPr>
        <w:t>该项目年初预算数375万元，全年预算数375万元，该项目资金已全部落实到位，资金来源为财政拨款。</w:t>
      </w:r>
    </w:p>
    <w:p>
      <w:pPr>
        <w:spacing w:line="600" w:lineRule="exact"/>
        <w:ind w:firstLine="640" w:firstLineChars="200"/>
        <w:outlineLvl w:val="0"/>
        <w:rPr>
          <w:rFonts w:eastAsia="仿宋_GB2312"/>
          <w:sz w:val="32"/>
          <w:szCs w:val="32"/>
        </w:rPr>
      </w:pPr>
      <w:r>
        <w:rPr>
          <w:rFonts w:eastAsia="仿宋_GB2312"/>
          <w:sz w:val="32"/>
          <w:szCs w:val="32"/>
        </w:rPr>
        <w:t>（2）资金使用情况</w:t>
      </w:r>
    </w:p>
    <w:p>
      <w:pPr>
        <w:spacing w:line="600" w:lineRule="exact"/>
        <w:ind w:firstLine="640" w:firstLineChars="200"/>
        <w:outlineLvl w:val="0"/>
        <w:rPr>
          <w:rFonts w:eastAsia="仿宋_GB2312"/>
          <w:sz w:val="32"/>
          <w:szCs w:val="32"/>
        </w:rPr>
      </w:pPr>
      <w:r>
        <w:rPr>
          <w:rFonts w:eastAsia="仿宋_GB2312"/>
          <w:sz w:val="32"/>
          <w:szCs w:val="32"/>
        </w:rPr>
        <w:t>该项目年初预算数375万元，全年预算数375万元，全年执行数358.86万元，预算执行率为95.70%，主要用于</w:t>
      </w:r>
      <w:bookmarkStart w:id="1" w:name="_Hlk195005622"/>
      <w:r>
        <w:rPr>
          <w:rStyle w:val="16"/>
          <w:rFonts w:eastAsia="仿宋_GB2312"/>
          <w:b w:val="0"/>
          <w:color w:val="000000"/>
          <w:spacing w:val="-4"/>
          <w:sz w:val="32"/>
          <w:szCs w:val="32"/>
        </w:rPr>
        <w:t>弥补公用经费不足、日常运转费用、完成政务信息化政策标准制定、编制完成数据一体化标准、完成公共数据授权和数据要素交易课题研究报告、完成自治区“一网统管”各类成果</w:t>
      </w:r>
      <w:bookmarkEnd w:id="1"/>
      <w:r>
        <w:rPr>
          <w:rStyle w:val="16"/>
          <w:rFonts w:eastAsia="仿宋_GB2312"/>
          <w:b w:val="0"/>
          <w:color w:val="000000"/>
          <w:spacing w:val="-4"/>
          <w:sz w:val="32"/>
          <w:szCs w:val="32"/>
        </w:rPr>
        <w:t>等一系列业务活动支出。</w:t>
      </w:r>
    </w:p>
    <w:p>
      <w:pPr>
        <w:spacing w:line="600" w:lineRule="exact"/>
        <w:ind w:firstLine="643" w:firstLineChars="200"/>
        <w:rPr>
          <w:rFonts w:eastAsia="楷体_GB2312"/>
          <w:b/>
          <w:bCs/>
          <w:sz w:val="32"/>
          <w:szCs w:val="32"/>
        </w:rPr>
      </w:pPr>
      <w:r>
        <w:rPr>
          <w:rFonts w:eastAsia="楷体_GB2312"/>
          <w:b/>
          <w:bCs/>
          <w:sz w:val="32"/>
          <w:szCs w:val="32"/>
        </w:rPr>
        <w:t>（二）项目绩效目标</w:t>
      </w:r>
    </w:p>
    <w:p>
      <w:pPr>
        <w:spacing w:line="600" w:lineRule="exact"/>
        <w:ind w:firstLine="643" w:firstLineChars="200"/>
        <w:rPr>
          <w:rFonts w:eastAsia="仿宋_GB2312"/>
          <w:b/>
          <w:bCs/>
          <w:sz w:val="32"/>
          <w:szCs w:val="32"/>
        </w:rPr>
      </w:pPr>
      <w:r>
        <w:rPr>
          <w:rFonts w:eastAsia="仿宋_GB2312"/>
          <w:b/>
          <w:bCs/>
          <w:sz w:val="32"/>
          <w:szCs w:val="32"/>
        </w:rPr>
        <w:t>1.总体目标</w:t>
      </w:r>
    </w:p>
    <w:p>
      <w:pPr>
        <w:spacing w:line="600" w:lineRule="exact"/>
        <w:ind w:firstLine="640" w:firstLineChars="200"/>
        <w:rPr>
          <w:rFonts w:eastAsia="仿宋_GB2312"/>
          <w:bCs/>
          <w:sz w:val="32"/>
          <w:szCs w:val="32"/>
        </w:rPr>
      </w:pPr>
      <w:r>
        <w:rPr>
          <w:rFonts w:eastAsia="仿宋_GB2312"/>
          <w:bCs/>
          <w:sz w:val="32"/>
          <w:szCs w:val="32"/>
        </w:rPr>
        <w:t>202</w:t>
      </w:r>
      <w:r>
        <w:rPr>
          <w:rFonts w:hint="eastAsia" w:eastAsia="仿宋_GB2312"/>
          <w:bCs/>
          <w:sz w:val="32"/>
          <w:szCs w:val="32"/>
        </w:rPr>
        <w:t>4</w:t>
      </w:r>
      <w:r>
        <w:rPr>
          <w:rFonts w:eastAsia="仿宋_GB2312"/>
          <w:bCs/>
          <w:sz w:val="32"/>
          <w:szCs w:val="32"/>
        </w:rPr>
        <w:t>年，通过完成政务信息化政策标准制定、数据一体化标准编制、公共数据授权和数据要素交易课题研究报告编制、自治区“一网统管”各类成果等工作，加快建设数字经济、数字社会、数字政府，以数字化转型整体驱动生产方式、生活方式和治理方式变革，持续推动自治区数字政府基础设施集约化、政府决策科学化、行政办公高效化、公共服务便捷化、社会治理精准化，有序推动全区数字政府建设。</w:t>
      </w:r>
    </w:p>
    <w:p>
      <w:pPr>
        <w:spacing w:line="600" w:lineRule="exact"/>
        <w:ind w:firstLine="643" w:firstLineChars="200"/>
        <w:rPr>
          <w:rFonts w:eastAsia="仿宋_GB2312"/>
          <w:b/>
          <w:bCs/>
          <w:sz w:val="32"/>
          <w:szCs w:val="32"/>
        </w:rPr>
      </w:pPr>
      <w:r>
        <w:rPr>
          <w:rFonts w:eastAsia="仿宋_GB2312"/>
          <w:b/>
          <w:bCs/>
          <w:sz w:val="32"/>
          <w:szCs w:val="32"/>
        </w:rPr>
        <w:t>2.阶段性目标</w:t>
      </w:r>
    </w:p>
    <w:p>
      <w:pPr>
        <w:spacing w:line="600" w:lineRule="exact"/>
        <w:ind w:firstLine="640" w:firstLineChars="200"/>
        <w:rPr>
          <w:rFonts w:eastAsia="仿宋_GB2312"/>
          <w:sz w:val="32"/>
          <w:szCs w:val="32"/>
        </w:rPr>
      </w:pPr>
      <w:r>
        <w:rPr>
          <w:rFonts w:eastAsia="仿宋_GB2312"/>
          <w:sz w:val="32"/>
          <w:szCs w:val="32"/>
        </w:rPr>
        <w:t>根据《</w:t>
      </w:r>
      <w:r>
        <w:rPr>
          <w:rFonts w:hint="eastAsia" w:eastAsia="仿宋_GB2312"/>
          <w:sz w:val="32"/>
          <w:szCs w:val="32"/>
        </w:rPr>
        <w:t>中华人民共和国</w:t>
      </w:r>
      <w:r>
        <w:rPr>
          <w:rFonts w:eastAsia="仿宋_GB2312"/>
          <w:sz w:val="32"/>
          <w:szCs w:val="32"/>
        </w:rPr>
        <w:t>预算法》《财政支出绩效评价管理暂行办法》（财预〔2020〕10 号）《中共中央国务院关于全面实施预算绩效管理的意见》（中发〔2018〕34 号）《自治区党委 自治区人民政府关于全面实施预算绩效管理的实施意见》（新党发〔2018〕30 号）《自治区财政支出绩效评价管理暂行办法》（新财预〔2018〕189 号）的规定，结合项目相关信息，将年度目标细化分为产出指标、成本指标、效益指标、满意度指标，与文件下发的共性指标共同构成该项目三级指标体系。最终确定该项目指标如下：</w:t>
      </w:r>
    </w:p>
    <w:p>
      <w:pPr>
        <w:spacing w:line="600" w:lineRule="exact"/>
        <w:ind w:firstLine="640" w:firstLineChars="200"/>
        <w:rPr>
          <w:rFonts w:eastAsia="仿宋_GB2312"/>
          <w:sz w:val="32"/>
          <w:szCs w:val="32"/>
        </w:rPr>
      </w:pPr>
      <w:r>
        <w:rPr>
          <w:rFonts w:eastAsia="仿宋_GB2312"/>
          <w:sz w:val="32"/>
          <w:szCs w:val="32"/>
        </w:rPr>
        <w:t>（1）产出指标</w:t>
      </w:r>
    </w:p>
    <w:p>
      <w:pPr>
        <w:spacing w:line="600" w:lineRule="exact"/>
        <w:ind w:firstLine="640" w:firstLineChars="200"/>
        <w:rPr>
          <w:rFonts w:eastAsia="仿宋_GB2312"/>
          <w:sz w:val="32"/>
          <w:szCs w:val="32"/>
        </w:rPr>
      </w:pPr>
      <w:r>
        <w:rPr>
          <w:rFonts w:eastAsia="仿宋_GB2312"/>
          <w:sz w:val="32"/>
          <w:szCs w:val="32"/>
        </w:rPr>
        <w:t>数量指标 ：完成政务信息化政策标准制定&gt;=1项；编制完成数据一体化标准&gt;=5项；完成公共数据授权和数据要素交易课题研究报告&gt;=1项；完成自治区“一网统管”各类成果&gt;=1项。</w:t>
      </w:r>
    </w:p>
    <w:p>
      <w:pPr>
        <w:spacing w:line="600" w:lineRule="exact"/>
        <w:ind w:firstLine="640" w:firstLineChars="200"/>
        <w:rPr>
          <w:rFonts w:eastAsia="仿宋_GB2312"/>
          <w:sz w:val="32"/>
          <w:szCs w:val="32"/>
        </w:rPr>
      </w:pPr>
      <w:r>
        <w:rPr>
          <w:rFonts w:eastAsia="仿宋_GB2312"/>
          <w:sz w:val="32"/>
          <w:szCs w:val="32"/>
        </w:rPr>
        <w:t>质量指标：完成各项工作质量达标率=100% 。</w:t>
      </w:r>
    </w:p>
    <w:p>
      <w:pPr>
        <w:spacing w:line="600" w:lineRule="exact"/>
        <w:ind w:firstLine="640" w:firstLineChars="200"/>
        <w:rPr>
          <w:rFonts w:eastAsia="仿宋_GB2312"/>
          <w:sz w:val="32"/>
          <w:szCs w:val="32"/>
        </w:rPr>
      </w:pPr>
      <w:r>
        <w:rPr>
          <w:rFonts w:eastAsia="仿宋_GB2312"/>
          <w:sz w:val="32"/>
          <w:szCs w:val="32"/>
        </w:rPr>
        <w:t>时效指标：项目按期完成率&gt;=90%。</w:t>
      </w:r>
    </w:p>
    <w:p>
      <w:pPr>
        <w:spacing w:line="600" w:lineRule="exact"/>
        <w:ind w:left="600"/>
        <w:rPr>
          <w:rFonts w:eastAsia="仿宋_GB2312"/>
          <w:sz w:val="32"/>
          <w:szCs w:val="32"/>
        </w:rPr>
      </w:pPr>
      <w:r>
        <w:rPr>
          <w:rFonts w:eastAsia="仿宋_GB2312"/>
          <w:sz w:val="32"/>
          <w:szCs w:val="32"/>
        </w:rPr>
        <w:t>（2）成本指标</w:t>
      </w:r>
    </w:p>
    <w:p>
      <w:pPr>
        <w:spacing w:line="600" w:lineRule="exact"/>
        <w:ind w:firstLine="640" w:firstLineChars="200"/>
        <w:rPr>
          <w:rFonts w:eastAsia="仿宋_GB2312"/>
          <w:sz w:val="32"/>
          <w:szCs w:val="32"/>
        </w:rPr>
      </w:pPr>
      <w:r>
        <w:rPr>
          <w:rFonts w:eastAsia="仿宋_GB2312"/>
          <w:sz w:val="32"/>
          <w:szCs w:val="32"/>
        </w:rPr>
        <w:t>经济成本指标：政务信息化项目成本&lt;=34万元；数据一体化编制成本&lt;=42万元；公共数据授权和数据要素交易课题研究项目成本&lt;=40万元；“一网统管”规划服务项目成本&lt;=120万元。</w:t>
      </w:r>
    </w:p>
    <w:p>
      <w:pPr>
        <w:spacing w:line="600" w:lineRule="exact"/>
        <w:ind w:left="600"/>
        <w:rPr>
          <w:rFonts w:eastAsia="仿宋_GB2312"/>
          <w:sz w:val="32"/>
          <w:szCs w:val="32"/>
        </w:rPr>
      </w:pPr>
      <w:r>
        <w:rPr>
          <w:rFonts w:eastAsia="仿宋_GB2312"/>
          <w:sz w:val="32"/>
          <w:szCs w:val="32"/>
        </w:rPr>
        <w:t>（3）效益指标</w:t>
      </w:r>
    </w:p>
    <w:p>
      <w:pPr>
        <w:spacing w:line="600" w:lineRule="exact"/>
        <w:ind w:firstLine="640" w:firstLineChars="200"/>
        <w:rPr>
          <w:rFonts w:eastAsia="仿宋_GB2312"/>
          <w:sz w:val="32"/>
          <w:szCs w:val="32"/>
        </w:rPr>
      </w:pPr>
      <w:r>
        <w:rPr>
          <w:rFonts w:eastAsia="仿宋_GB2312"/>
          <w:sz w:val="32"/>
          <w:szCs w:val="32"/>
        </w:rPr>
        <w:t>社会效益指标：有序推动全区数字政府建设。</w:t>
      </w:r>
    </w:p>
    <w:p>
      <w:pPr>
        <w:spacing w:line="600" w:lineRule="exact"/>
        <w:ind w:left="600"/>
        <w:rPr>
          <w:rFonts w:eastAsia="仿宋_GB2312"/>
          <w:sz w:val="32"/>
          <w:szCs w:val="32"/>
        </w:rPr>
      </w:pPr>
      <w:r>
        <w:rPr>
          <w:rFonts w:eastAsia="仿宋_GB2312"/>
          <w:sz w:val="32"/>
          <w:szCs w:val="32"/>
        </w:rPr>
        <w:t>（4）满意度指标</w:t>
      </w:r>
    </w:p>
    <w:p>
      <w:pPr>
        <w:spacing w:line="600" w:lineRule="exact"/>
        <w:ind w:firstLine="640" w:firstLineChars="200"/>
        <w:rPr>
          <w:rFonts w:eastAsia="仿宋_GB2312"/>
          <w:sz w:val="32"/>
          <w:szCs w:val="32"/>
        </w:rPr>
      </w:pPr>
      <w:r>
        <w:rPr>
          <w:rFonts w:eastAsia="仿宋_GB2312"/>
          <w:sz w:val="32"/>
          <w:szCs w:val="32"/>
        </w:rPr>
        <w:t>使用部门满意度&gt;=90%。</w:t>
      </w:r>
    </w:p>
    <w:p>
      <w:pPr>
        <w:spacing w:line="600" w:lineRule="exact"/>
        <w:ind w:firstLine="640" w:firstLineChars="200"/>
        <w:rPr>
          <w:rFonts w:eastAsia="黑体"/>
          <w:sz w:val="32"/>
          <w:szCs w:val="32"/>
        </w:rPr>
      </w:pPr>
      <w:r>
        <w:rPr>
          <w:rFonts w:eastAsia="黑体"/>
          <w:sz w:val="32"/>
          <w:szCs w:val="32"/>
        </w:rPr>
        <w:t>二、绩效评价工作开展情况</w:t>
      </w:r>
    </w:p>
    <w:p>
      <w:pPr>
        <w:spacing w:line="600" w:lineRule="exact"/>
        <w:ind w:firstLine="643" w:firstLineChars="200"/>
        <w:rPr>
          <w:rFonts w:eastAsia="楷体_GB2312"/>
          <w:b/>
          <w:bCs/>
          <w:sz w:val="32"/>
          <w:szCs w:val="32"/>
        </w:rPr>
      </w:pPr>
      <w:r>
        <w:rPr>
          <w:rFonts w:eastAsia="楷体_GB2312"/>
          <w:b/>
          <w:bCs/>
          <w:sz w:val="32"/>
          <w:szCs w:val="32"/>
        </w:rPr>
        <w:t>（一）绩效评价目的、对象和范围</w:t>
      </w:r>
    </w:p>
    <w:p>
      <w:pPr>
        <w:pStyle w:val="10"/>
        <w:widowControl w:val="0"/>
        <w:spacing w:before="0" w:after="0" w:line="600" w:lineRule="exact"/>
        <w:ind w:firstLine="643" w:firstLineChars="200"/>
        <w:jc w:val="both"/>
        <w:outlineLvl w:val="9"/>
        <w:rPr>
          <w:rFonts w:ascii="Times New Roman" w:hAnsi="Times New Roman" w:eastAsia="仿宋_GB2312"/>
        </w:rPr>
      </w:pPr>
      <w:r>
        <w:rPr>
          <w:rFonts w:ascii="Times New Roman" w:hAnsi="Times New Roman" w:eastAsia="仿宋_GB2312"/>
        </w:rPr>
        <w:t>1.绩效评价完整性</w:t>
      </w:r>
    </w:p>
    <w:p>
      <w:pPr>
        <w:spacing w:line="600" w:lineRule="exact"/>
        <w:ind w:firstLine="640" w:firstLineChars="200"/>
        <w:rPr>
          <w:rFonts w:eastAsia="仿宋_GB2312"/>
          <w:sz w:val="32"/>
          <w:szCs w:val="32"/>
        </w:rPr>
      </w:pPr>
      <w:r>
        <w:rPr>
          <w:rFonts w:eastAsia="仿宋_GB2312"/>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600" w:lineRule="exact"/>
        <w:ind w:firstLine="640" w:firstLineChars="200"/>
        <w:rPr>
          <w:rFonts w:eastAsia="仿宋_GB2312"/>
          <w:sz w:val="32"/>
          <w:szCs w:val="32"/>
        </w:rPr>
      </w:pPr>
      <w:r>
        <w:rPr>
          <w:rFonts w:eastAsia="仿宋_GB2312"/>
          <w:sz w:val="32"/>
          <w:szCs w:val="32"/>
        </w:rPr>
        <w:t>在评价指标体系的构建上，充分考虑了项目的性质、目标以及预期成果，选取了具有代表性和可衡量性的关键指标，涵盖了经济效益、社会效益等多个维度，全方位反映项目的绩效状况。同时，对于每个指标的评价标准和数据来源均进行了明确说明，确保评价结果的客观性和可追溯性。</w:t>
      </w:r>
    </w:p>
    <w:p>
      <w:pPr>
        <w:spacing w:line="600" w:lineRule="exact"/>
        <w:ind w:firstLine="640" w:firstLineChars="200"/>
        <w:rPr>
          <w:rFonts w:eastAsia="仿宋_GB2312"/>
          <w:sz w:val="32"/>
          <w:szCs w:val="32"/>
        </w:rPr>
      </w:pPr>
      <w:r>
        <w:rPr>
          <w:rFonts w:eastAsia="仿宋_GB2312"/>
          <w:sz w:val="32"/>
          <w:szCs w:val="32"/>
        </w:rPr>
        <w:t>在数据收集与分析环节，采用了实地调研、问卷调查、数据分析等多种科学合理的方法，广泛收集了与项目相关的各类数据，并运用专业的统计分析工具对数据进行深入挖掘，严格把控数据的质量和完整性</w:t>
      </w:r>
      <w:r>
        <w:rPr>
          <w:rFonts w:hint="eastAsia" w:eastAsia="仿宋_GB2312"/>
          <w:sz w:val="32"/>
          <w:szCs w:val="32"/>
        </w:rPr>
        <w:t>，</w:t>
      </w:r>
      <w:r>
        <w:rPr>
          <w:rFonts w:eastAsia="仿宋_GB2312"/>
          <w:sz w:val="32"/>
          <w:szCs w:val="32"/>
        </w:rPr>
        <w:t xml:space="preserve">对于缺失或异常的数据进行了合理的处理和说明，保证了评价数据的真实性和有效性。 </w:t>
      </w:r>
    </w:p>
    <w:p>
      <w:pPr>
        <w:spacing w:line="600" w:lineRule="exact"/>
        <w:ind w:firstLine="640" w:firstLineChars="200"/>
        <w:rPr>
          <w:rFonts w:eastAsia="仿宋_GB2312"/>
          <w:sz w:val="32"/>
          <w:szCs w:val="32"/>
        </w:rPr>
      </w:pPr>
      <w:r>
        <w:rPr>
          <w:rFonts w:eastAsia="仿宋_GB2312"/>
          <w:sz w:val="32"/>
          <w:szCs w:val="32"/>
        </w:rPr>
        <w:t>在报告的撰写结构上，</w:t>
      </w:r>
      <w:r>
        <w:rPr>
          <w:rFonts w:hint="eastAsia" w:eastAsia="仿宋_GB2312"/>
          <w:sz w:val="32"/>
          <w:szCs w:val="32"/>
        </w:rPr>
        <w:t>严格</w:t>
      </w:r>
      <w:r>
        <w:rPr>
          <w:rFonts w:eastAsia="仿宋_GB2312"/>
          <w:sz w:val="32"/>
          <w:szCs w:val="32"/>
        </w:rPr>
        <w:t>按照统一的格式和规范进行</w:t>
      </w:r>
      <w:r>
        <w:rPr>
          <w:rFonts w:hint="eastAsia" w:eastAsia="仿宋_GB2312"/>
          <w:sz w:val="32"/>
          <w:szCs w:val="32"/>
        </w:rPr>
        <w:t>撰写</w:t>
      </w:r>
      <w:r>
        <w:rPr>
          <w:rFonts w:eastAsia="仿宋_GB2312"/>
          <w:sz w:val="32"/>
          <w:szCs w:val="32"/>
        </w:rPr>
        <w:t>，内容层次分明、条理清晰。对项目的背景、目标和预算安排进行了简要介绍，为后续的绩效评价提供了必要的背景信息；详细阐述了绩效评价的指标体系、评价方法和数据来源，为评价过程的透明性奠定了基础；对各项绩效指标的完成情况进行了逐一分析和评价，指出了项目在实施过程中存在的问题和不足；对整个项目的绩效状况进行了综合总结，给出了明确的评价结论和后续工作的建议，为项目的持续改进和决策提供了有力支持。</w:t>
      </w:r>
    </w:p>
    <w:p>
      <w:pPr>
        <w:spacing w:line="600" w:lineRule="exact"/>
        <w:ind w:firstLine="640" w:firstLineChars="200"/>
        <w:rPr>
          <w:rFonts w:eastAsia="仿宋_GB2312"/>
          <w:sz w:val="32"/>
          <w:szCs w:val="32"/>
        </w:rPr>
      </w:pPr>
      <w:r>
        <w:rPr>
          <w:rFonts w:eastAsia="仿宋_GB2312"/>
          <w:sz w:val="32"/>
          <w:szCs w:val="32"/>
        </w:rPr>
        <w:t>本项目预算绩效评价报告在内容、方法和数据等方面均具备较高的完整性，能够真实、客观地反映项目的绩效情况，为项目管理决策提供了有价值的参考依据。在未来的工作中，将继续完善绩效评价体系，不断提升评价工作的质量和水平，以更好地服务于项目的管理和优化。</w:t>
      </w:r>
    </w:p>
    <w:p>
      <w:pPr>
        <w:spacing w:line="600" w:lineRule="exact"/>
        <w:ind w:firstLine="643" w:firstLineChars="200"/>
        <w:rPr>
          <w:rFonts w:eastAsia="仿宋_GB2312"/>
          <w:b/>
          <w:bCs/>
          <w:sz w:val="32"/>
          <w:szCs w:val="32"/>
        </w:rPr>
      </w:pPr>
      <w:r>
        <w:rPr>
          <w:rFonts w:eastAsia="仿宋_GB2312"/>
          <w:b/>
          <w:bCs/>
          <w:sz w:val="32"/>
          <w:szCs w:val="32"/>
        </w:rPr>
        <w:t>2.绩效评价的目的</w:t>
      </w:r>
    </w:p>
    <w:p>
      <w:pPr>
        <w:spacing w:line="60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等方面的综合评价；是发挥财政调控功能、提高财政资金安排科学性、促进财政支持社会经济 目标实现的重要保证。</w:t>
      </w:r>
    </w:p>
    <w:p>
      <w:pPr>
        <w:spacing w:line="600" w:lineRule="exact"/>
        <w:ind w:firstLine="640" w:firstLineChars="200"/>
        <w:rPr>
          <w:rFonts w:eastAsia="仿宋_GB2312"/>
          <w:sz w:val="32"/>
          <w:szCs w:val="32"/>
        </w:rPr>
      </w:pPr>
      <w:r>
        <w:rPr>
          <w:rFonts w:eastAsia="仿宋_GB2312"/>
          <w:sz w:val="32"/>
          <w:szCs w:val="32"/>
        </w:rPr>
        <w:t>（1）评估项目实施效果</w:t>
      </w:r>
    </w:p>
    <w:p>
      <w:pPr>
        <w:spacing w:line="600" w:lineRule="exact"/>
        <w:ind w:firstLine="640" w:firstLineChars="200"/>
        <w:rPr>
          <w:rFonts w:eastAsia="仿宋_GB2312"/>
          <w:sz w:val="32"/>
          <w:szCs w:val="32"/>
        </w:rPr>
      </w:pPr>
      <w:r>
        <w:rPr>
          <w:rFonts w:eastAsia="仿宋_GB2312"/>
          <w:sz w:val="32"/>
          <w:szCs w:val="32"/>
        </w:rPr>
        <w:t>通过对项目预算执行情况及各项绩效目标达成程度的系统性分析，全面、客观地评估项目在预定周期内的实施效果，包括经济效益、社会效益等多维度指标，为项目后续的改进与优化提供科学依据。</w:t>
      </w:r>
    </w:p>
    <w:p>
      <w:pPr>
        <w:spacing w:line="600" w:lineRule="exact"/>
        <w:ind w:firstLine="640" w:firstLineChars="200"/>
        <w:rPr>
          <w:rFonts w:eastAsia="仿宋_GB2312"/>
          <w:sz w:val="32"/>
          <w:szCs w:val="32"/>
        </w:rPr>
      </w:pPr>
      <w:r>
        <w:rPr>
          <w:rFonts w:eastAsia="仿宋_GB2312"/>
          <w:sz w:val="32"/>
          <w:szCs w:val="32"/>
        </w:rPr>
        <w:t>（2）强化项目管理责任</w:t>
      </w:r>
    </w:p>
    <w:p>
      <w:pPr>
        <w:spacing w:line="600" w:lineRule="exact"/>
        <w:ind w:firstLine="640" w:firstLineChars="200"/>
        <w:rPr>
          <w:rFonts w:eastAsia="仿宋_GB2312"/>
          <w:sz w:val="32"/>
          <w:szCs w:val="32"/>
        </w:rPr>
      </w:pPr>
      <w:r>
        <w:rPr>
          <w:rFonts w:eastAsia="仿宋_GB2312"/>
          <w:sz w:val="32"/>
          <w:szCs w:val="32"/>
        </w:rPr>
        <w:t>明确项目各参与部门在预算绩效管理中的职责与任务，借助绩效评价结果对项目管理过程进行监督与问责，促使项目管理者增强责任意识，主动优化管理流程，完善内部控制机制，提高项目管理水平与执行力，保障项目按计划推进。</w:t>
      </w:r>
    </w:p>
    <w:p>
      <w:pPr>
        <w:spacing w:line="600" w:lineRule="exact"/>
        <w:ind w:firstLine="640" w:firstLineChars="200"/>
        <w:rPr>
          <w:rFonts w:eastAsia="仿宋_GB2312"/>
          <w:sz w:val="32"/>
          <w:szCs w:val="32"/>
        </w:rPr>
      </w:pPr>
      <w:r>
        <w:rPr>
          <w:rFonts w:eastAsia="仿宋_GB2312"/>
          <w:sz w:val="32"/>
          <w:szCs w:val="32"/>
        </w:rPr>
        <w:t>（3）提供</w:t>
      </w:r>
      <w:r>
        <w:rPr>
          <w:rFonts w:hint="eastAsia" w:eastAsia="仿宋_GB2312"/>
          <w:sz w:val="32"/>
          <w:szCs w:val="32"/>
        </w:rPr>
        <w:t>科学</w:t>
      </w:r>
      <w:r>
        <w:rPr>
          <w:rFonts w:eastAsia="仿宋_GB2312"/>
          <w:sz w:val="32"/>
          <w:szCs w:val="32"/>
        </w:rPr>
        <w:t>决策支持</w:t>
      </w:r>
    </w:p>
    <w:p>
      <w:pPr>
        <w:spacing w:line="600" w:lineRule="exact"/>
        <w:ind w:firstLine="640" w:firstLineChars="200"/>
        <w:rPr>
          <w:rFonts w:eastAsia="仿宋_GB2312"/>
          <w:sz w:val="32"/>
          <w:szCs w:val="32"/>
        </w:rPr>
      </w:pPr>
      <w:r>
        <w:rPr>
          <w:rFonts w:eastAsia="仿宋_GB2312"/>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提升公共资源配置的精准度与有效性。</w:t>
      </w:r>
    </w:p>
    <w:p>
      <w:pPr>
        <w:spacing w:line="600" w:lineRule="exact"/>
        <w:ind w:firstLine="640" w:firstLineChars="200"/>
        <w:rPr>
          <w:rFonts w:eastAsia="仿宋_GB2312"/>
          <w:sz w:val="32"/>
          <w:szCs w:val="32"/>
        </w:rPr>
      </w:pPr>
      <w:r>
        <w:rPr>
          <w:rFonts w:eastAsia="仿宋_GB2312"/>
          <w:sz w:val="32"/>
          <w:szCs w:val="32"/>
        </w:rPr>
        <w:t>（4）促进项目持续改进</w:t>
      </w:r>
    </w:p>
    <w:p>
      <w:pPr>
        <w:spacing w:line="600" w:lineRule="exact"/>
        <w:ind w:firstLine="640" w:firstLineChars="200"/>
        <w:rPr>
          <w:rFonts w:eastAsia="仿宋_GB2312"/>
          <w:sz w:val="32"/>
          <w:szCs w:val="32"/>
        </w:rPr>
      </w:pPr>
      <w:r>
        <w:rPr>
          <w:rFonts w:eastAsia="仿宋_GB2312"/>
          <w:sz w:val="32"/>
          <w:szCs w:val="32"/>
        </w:rPr>
        <w:t>基于绩效评价中发现的问题与不足，提出针对性的改进建议与措施，引导项目</w:t>
      </w:r>
      <w:r>
        <w:rPr>
          <w:rFonts w:hint="eastAsia" w:eastAsia="仿宋_GB2312"/>
          <w:sz w:val="32"/>
          <w:szCs w:val="32"/>
        </w:rPr>
        <w:t>处室</w:t>
      </w:r>
      <w:r>
        <w:rPr>
          <w:rFonts w:eastAsia="仿宋_GB2312"/>
          <w:sz w:val="32"/>
          <w:szCs w:val="32"/>
        </w:rPr>
        <w:t>聚焦关键环节，持续优化项目实施方案，加强过程监控与质量把控，形成项目绩效持续改进的良性循环，不断提升项目整体绩效水平，实现项目长期稳定发展的目标。</w:t>
      </w:r>
    </w:p>
    <w:p>
      <w:pPr>
        <w:spacing w:line="600" w:lineRule="exact"/>
        <w:ind w:firstLine="640" w:firstLineChars="200"/>
        <w:rPr>
          <w:rFonts w:eastAsia="方正仿宋_GBK"/>
          <w:sz w:val="32"/>
          <w:szCs w:val="32"/>
        </w:rPr>
      </w:pPr>
      <w:r>
        <w:rPr>
          <w:rFonts w:eastAsia="仿宋_GB2312"/>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w:t>
      </w:r>
      <w:r>
        <w:rPr>
          <w:rFonts w:hint="eastAsia" w:eastAsia="仿宋_GB2312"/>
          <w:sz w:val="32"/>
          <w:szCs w:val="32"/>
        </w:rPr>
        <w:t>同时，</w:t>
      </w:r>
      <w:r>
        <w:rPr>
          <w:rFonts w:eastAsia="仿宋_GB2312"/>
          <w:sz w:val="32"/>
          <w:szCs w:val="32"/>
        </w:rPr>
        <w:t>为下一年预算编制与评审提供充分有效的依据，以达到改进预算管理、控制节约成本，优化资源配置、提高预算资金使用效益的目的。</w:t>
      </w:r>
    </w:p>
    <w:p>
      <w:pPr>
        <w:pStyle w:val="10"/>
        <w:widowControl w:val="0"/>
        <w:spacing w:before="0" w:after="0" w:line="600" w:lineRule="exact"/>
        <w:ind w:firstLine="643" w:firstLineChars="200"/>
        <w:jc w:val="both"/>
        <w:outlineLvl w:val="9"/>
        <w:rPr>
          <w:rFonts w:ascii="Times New Roman" w:hAnsi="Times New Roman" w:eastAsia="仿宋_GB2312"/>
        </w:rPr>
      </w:pPr>
      <w:r>
        <w:rPr>
          <w:rFonts w:ascii="Times New Roman" w:hAnsi="Times New Roman" w:eastAsia="仿宋_GB2312"/>
        </w:rPr>
        <w:t>3.绩效评价的对象</w:t>
      </w:r>
    </w:p>
    <w:p>
      <w:pPr>
        <w:pStyle w:val="1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本项目预算绩效评价报告的评价对象是数字化发展专项业务经费项目下所包含的完成政务信息化政策标准制定、编制完成数据一体化标准、完成公共数据授权和数据要素交易课题研究报告、自治区“一网统管”成果编制等</w:t>
      </w:r>
      <w:r>
        <w:rPr>
          <w:rFonts w:hint="eastAsia" w:ascii="Times New Roman" w:hAnsi="Times New Roman" w:eastAsia="仿宋_GB2312"/>
          <w:b w:val="0"/>
          <w:bCs w:val="0"/>
        </w:rPr>
        <w:t>内容</w:t>
      </w:r>
      <w:r>
        <w:rPr>
          <w:rFonts w:ascii="Times New Roman" w:hAnsi="Times New Roman" w:eastAsia="仿宋_GB2312"/>
          <w:b w:val="0"/>
          <w:bCs w:val="0"/>
        </w:rPr>
        <w:t>。</w:t>
      </w:r>
    </w:p>
    <w:p>
      <w:pPr>
        <w:pStyle w:val="10"/>
        <w:widowControl w:val="0"/>
        <w:spacing w:before="0" w:after="0" w:line="600" w:lineRule="exact"/>
        <w:ind w:firstLine="643" w:firstLineChars="200"/>
        <w:jc w:val="both"/>
        <w:outlineLvl w:val="9"/>
        <w:rPr>
          <w:rFonts w:ascii="Times New Roman" w:hAnsi="Times New Roman" w:eastAsia="仿宋_GB2312"/>
        </w:rPr>
      </w:pPr>
      <w:r>
        <w:rPr>
          <w:rFonts w:ascii="Times New Roman" w:hAnsi="Times New Roman" w:eastAsia="仿宋_GB2312"/>
        </w:rPr>
        <w:t>4.绩效评价的范围</w:t>
      </w:r>
    </w:p>
    <w:p>
      <w:pPr>
        <w:pStyle w:val="10"/>
        <w:widowControl w:val="0"/>
        <w:spacing w:before="0" w:after="0" w:line="600" w:lineRule="exact"/>
        <w:ind w:firstLine="640" w:firstLineChars="200"/>
        <w:jc w:val="both"/>
        <w:outlineLvl w:val="9"/>
        <w:rPr>
          <w:rFonts w:ascii="Times New Roman" w:hAnsi="Times New Roman" w:eastAsia="仿宋_GB2312"/>
          <w:b w:val="0"/>
          <w:bCs w:val="0"/>
          <w:highlight w:val="green"/>
        </w:rPr>
      </w:pPr>
      <w:r>
        <w:rPr>
          <w:rFonts w:ascii="Times New Roman" w:hAnsi="Times New Roman" w:eastAsia="仿宋_GB2312"/>
          <w:b w:val="0"/>
          <w:bCs w:val="0"/>
        </w:rPr>
        <w:t>本次绩效评价主要围绕项目资金使用情况、项目管理状 况、项目管理相关制度、措施执行情况、绩效目标实现程度， 项目产出及效益、满意度等方面进行部门绩效评价。</w:t>
      </w:r>
    </w:p>
    <w:p>
      <w:pPr>
        <w:spacing w:line="600" w:lineRule="exact"/>
        <w:ind w:firstLine="643" w:firstLineChars="200"/>
      </w:pPr>
      <w:r>
        <w:rPr>
          <w:rFonts w:eastAsia="楷体_GB2312"/>
          <w:b/>
          <w:bCs/>
          <w:sz w:val="32"/>
          <w:szCs w:val="32"/>
        </w:rPr>
        <w:t>（二）绩效评价原则、评价指标体系（详情见表1）、评价方法、评价标准。</w:t>
      </w:r>
    </w:p>
    <w:p>
      <w:pPr>
        <w:pStyle w:val="10"/>
        <w:widowControl w:val="0"/>
        <w:spacing w:before="0" w:after="0" w:line="600" w:lineRule="exact"/>
        <w:ind w:firstLine="643" w:firstLineChars="200"/>
        <w:jc w:val="both"/>
        <w:outlineLvl w:val="9"/>
        <w:rPr>
          <w:rFonts w:ascii="Times New Roman" w:hAnsi="Times New Roman" w:eastAsia="仿宋_GB2312"/>
        </w:rPr>
      </w:pPr>
      <w:r>
        <w:rPr>
          <w:rFonts w:ascii="Times New Roman" w:hAnsi="Times New Roman" w:eastAsia="仿宋_GB2312"/>
        </w:rPr>
        <w:t>1.绩效评价原则</w:t>
      </w:r>
    </w:p>
    <w:p>
      <w:pPr>
        <w:spacing w:line="60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w:t>
      </w:r>
      <w:r>
        <w:rPr>
          <w:rFonts w:hint="eastAsia" w:ascii="Times New Roman" w:hAnsi="Times New Roman" w:eastAsia="仿宋_GB2312"/>
          <w:b w:val="0"/>
          <w:bCs w:val="0"/>
        </w:rPr>
        <w:t>在开展绩效评价工作时，始终秉持科学公正的原则。科学合理的方法是绩效评价的基石，它要求我们运用专业、严谨的技术手段，对项目的各项指标进行细致入微的分析和评估。同时，规范的程序也是不可或缺的，它确保了评价过程的透明度和公正性，避免了主观臆断和偏见的影响。只有这样，我们才能对项目绩效进行客观、公正的反映，为决策提供准确、可靠的依据，推动项目持续健康发展，实现资源的优化配置和效益的最大化。</w:t>
      </w:r>
    </w:p>
    <w:p>
      <w:pPr>
        <w:pStyle w:val="1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需做到职责清晰界定，各自具备不同的侧重方向，同时三者之间应实现紧密衔接。单位自评环节，应由项目单位自主开展，严格遵循“谁支出、谁自评”的原则，确保自评结果真实反映项目单位自身情况。部门评价与财政评价则应在单位自评结果的基础上展开，部门评价侧重于从行业管理角度审视项目，财政评价更关注财政资金使用的合规性与效益性，通过层层递进、相互补充的评价机制，提升评价工作质量。</w:t>
      </w:r>
    </w:p>
    <w:p>
      <w:pPr>
        <w:pStyle w:val="1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要充分体现奖优罚劣和激励相容的鲜明导向，对于绩效表现优秀的项目或单位，在预算安排上给予适当倾斜与支持；对于低效项目，要果断压减资金；对于无效项目，则要严肃问责。通过这种方式，让绩效评价真正发挥“指挥棒”作用，推动各项工作高效、有序开展。</w:t>
      </w:r>
    </w:p>
    <w:p>
      <w:pPr>
        <w:pStyle w:val="1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在公开过程中，需严格遵循相关法律法规，确保公开内容真实、准确、完整，涵盖评价依据、方法、过程及最终结果等关键要素。同时，要主动搭建与社会公众沟通的桥梁，自觉接受社会监督。认真倾听各方声音，对合理建议积极吸纳，对存在问题及时整改，推动绩效评价工作不断优化，提升政府公信力与执行力。</w:t>
      </w:r>
    </w:p>
    <w:p>
      <w:pPr>
        <w:pStyle w:val="10"/>
        <w:spacing w:before="0" w:after="0" w:line="600" w:lineRule="exact"/>
        <w:ind w:firstLine="643" w:firstLineChars="200"/>
        <w:jc w:val="both"/>
        <w:outlineLvl w:val="9"/>
        <w:rPr>
          <w:rFonts w:ascii="Times New Roman" w:hAnsi="Times New Roman" w:eastAsia="仿宋_GB2312"/>
        </w:rPr>
      </w:pPr>
      <w:r>
        <w:rPr>
          <w:rFonts w:ascii="Times New Roman" w:hAnsi="Times New Roman" w:eastAsia="仿宋_GB2312"/>
        </w:rPr>
        <w:t>2.评价指标体系</w:t>
      </w:r>
    </w:p>
    <w:p>
      <w:pPr>
        <w:spacing w:line="600" w:lineRule="exact"/>
        <w:ind w:firstLine="640" w:firstLineChars="200"/>
        <w:rPr>
          <w:color w:val="000000"/>
          <w:sz w:val="32"/>
          <w:szCs w:val="32"/>
        </w:rPr>
      </w:pPr>
      <w:r>
        <w:rPr>
          <w:rFonts w:eastAsia="仿宋_GB2312"/>
          <w:color w:val="000000"/>
          <w:sz w:val="32"/>
          <w:szCs w:val="32"/>
        </w:rPr>
        <w:t>绩效评价框架是开展绩效评价的核心。绩效评价框架包括评价准则、关键评价问题、评价指标、数据来源、数据收集方法等。指标体系建立过程如下：</w:t>
      </w:r>
    </w:p>
    <w:p>
      <w:pPr>
        <w:spacing w:line="600" w:lineRule="exact"/>
        <w:ind w:firstLine="640" w:firstLineChars="200"/>
        <w:rPr>
          <w:rFonts w:eastAsia="仿宋_GB2312"/>
          <w:color w:val="000000"/>
          <w:sz w:val="32"/>
          <w:szCs w:val="32"/>
        </w:rPr>
      </w:pPr>
      <w:r>
        <w:rPr>
          <w:rFonts w:eastAsia="仿宋_GB2312"/>
          <w:color w:val="000000"/>
          <w:sz w:val="32"/>
          <w:szCs w:val="32"/>
        </w:rPr>
        <w:t>（1）确定评价指标</w:t>
      </w:r>
    </w:p>
    <w:p>
      <w:pPr>
        <w:spacing w:line="600" w:lineRule="exact"/>
        <w:ind w:firstLine="640" w:firstLineChars="200"/>
        <w:rPr>
          <w:rFonts w:eastAsia="仿宋_GB2312"/>
          <w:color w:val="000000"/>
          <w:sz w:val="32"/>
          <w:szCs w:val="32"/>
        </w:rPr>
      </w:pPr>
      <w:r>
        <w:rPr>
          <w:rFonts w:eastAsia="仿宋_GB2312"/>
          <w:color w:val="000000"/>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600" w:lineRule="exact"/>
        <w:ind w:firstLine="640" w:firstLineChars="200"/>
        <w:rPr>
          <w:rFonts w:eastAsia="仿宋_GB2312"/>
          <w:color w:val="000000"/>
          <w:sz w:val="32"/>
          <w:szCs w:val="32"/>
        </w:rPr>
      </w:pPr>
      <w:r>
        <w:rPr>
          <w:rFonts w:eastAsia="仿宋_GB2312"/>
          <w:color w:val="000000"/>
          <w:sz w:val="32"/>
          <w:szCs w:val="32"/>
        </w:rPr>
        <w:t>（2）确定权重</w:t>
      </w:r>
    </w:p>
    <w:p>
      <w:pPr>
        <w:spacing w:line="600" w:lineRule="exact"/>
        <w:ind w:firstLine="640" w:firstLineChars="200"/>
        <w:rPr>
          <w:rFonts w:eastAsia="仿宋_GB2312"/>
          <w:color w:val="FF0000"/>
          <w:sz w:val="32"/>
          <w:szCs w:val="32"/>
        </w:rPr>
      </w:pPr>
      <w:r>
        <w:rPr>
          <w:rFonts w:eastAsia="仿宋_GB2312"/>
          <w:color w:val="000000"/>
          <w:sz w:val="32"/>
          <w:szCs w:val="32"/>
        </w:rPr>
        <w:t>确定各个指标相对于项目总体绩效的权重分值。在绩效评价指标体系中，项目决策权重为20分，项目过程权重为20分，项目产出权重为40分，项目效益权重为20分。</w:t>
      </w:r>
    </w:p>
    <w:p>
      <w:pPr>
        <w:spacing w:line="600" w:lineRule="exact"/>
        <w:ind w:firstLine="640" w:firstLineChars="200"/>
        <w:rPr>
          <w:rFonts w:eastAsia="仿宋_GB2312"/>
          <w:color w:val="000000"/>
          <w:sz w:val="32"/>
          <w:szCs w:val="32"/>
        </w:rPr>
      </w:pPr>
      <w:r>
        <w:rPr>
          <w:rFonts w:eastAsia="仿宋_GB2312"/>
          <w:color w:val="000000"/>
          <w:sz w:val="32"/>
          <w:szCs w:val="32"/>
        </w:rPr>
        <w:t>（3）确定指标标准值</w:t>
      </w:r>
    </w:p>
    <w:p>
      <w:pPr>
        <w:spacing w:line="600" w:lineRule="exact"/>
        <w:ind w:firstLine="640" w:firstLineChars="200"/>
        <w:rPr>
          <w:rFonts w:eastAsia="仿宋_GB2312"/>
          <w:color w:val="000000"/>
          <w:sz w:val="32"/>
          <w:szCs w:val="32"/>
        </w:rPr>
      </w:pPr>
      <w:r>
        <w:rPr>
          <w:rFonts w:eastAsia="仿宋_GB2312"/>
          <w:color w:val="000000"/>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600" w:lineRule="exact"/>
        <w:ind w:firstLine="640" w:firstLineChars="200"/>
        <w:jc w:val="both"/>
        <w:rPr>
          <w:rFonts w:ascii="Times New Roman" w:hAnsi="Times New Roman" w:eastAsia="仿宋_GB2312"/>
          <w:b w:val="0"/>
          <w:bCs w:val="0"/>
          <w:color w:val="000000"/>
          <w:kern w:val="2"/>
        </w:rPr>
      </w:pPr>
      <w:r>
        <w:rPr>
          <w:rFonts w:ascii="Times New Roman" w:hAnsi="Times New Roman" w:eastAsia="仿宋_GB2312"/>
          <w:b w:val="0"/>
          <w:bCs w:val="0"/>
          <w:color w:val="000000"/>
          <w:kern w:val="2"/>
        </w:rPr>
        <w:t>绩效评价总分值100分，根据综合评分结果，90（含）-100分为优、80（含）-90分为良、60（含）-80分为中、60分以下为差。</w:t>
      </w:r>
    </w:p>
    <w:p>
      <w:pPr>
        <w:pStyle w:val="10"/>
        <w:widowControl w:val="0"/>
        <w:spacing w:before="0" w:after="0" w:line="600" w:lineRule="exact"/>
        <w:ind w:firstLine="640" w:firstLineChars="200"/>
        <w:jc w:val="both"/>
        <w:outlineLvl w:val="9"/>
        <w:rPr>
          <w:rFonts w:ascii="Times New Roman" w:hAnsi="Times New Roman" w:eastAsia="仿宋_GB2312"/>
          <w:b w:val="0"/>
          <w:bCs w:val="0"/>
          <w:color w:val="000000"/>
        </w:rPr>
      </w:pPr>
      <w:r>
        <w:rPr>
          <w:rFonts w:ascii="Times New Roman" w:hAnsi="Times New Roman" w:eastAsia="仿宋_GB2312"/>
          <w:b w:val="0"/>
          <w:bCs w:val="0"/>
          <w:color w:val="000000"/>
        </w:rPr>
        <w:t>具体评价指标体系详情见附件1</w:t>
      </w:r>
      <w:r>
        <w:rPr>
          <w:rFonts w:hint="eastAsia" w:ascii="Times New Roman" w:hAnsi="Times New Roman" w:eastAsia="仿宋_GB2312"/>
          <w:b w:val="0"/>
          <w:bCs w:val="0"/>
          <w:color w:val="000000"/>
        </w:rPr>
        <w:t>。</w:t>
      </w:r>
    </w:p>
    <w:p>
      <w:pPr>
        <w:pStyle w:val="10"/>
        <w:widowControl w:val="0"/>
        <w:spacing w:before="0" w:after="0" w:line="600" w:lineRule="exact"/>
        <w:ind w:firstLine="643" w:firstLineChars="200"/>
        <w:jc w:val="both"/>
        <w:outlineLvl w:val="9"/>
        <w:rPr>
          <w:rFonts w:ascii="Times New Roman" w:hAnsi="Times New Roman" w:eastAsia="仿宋_GB2312"/>
        </w:rPr>
      </w:pPr>
      <w:r>
        <w:rPr>
          <w:rFonts w:ascii="Times New Roman" w:hAnsi="Times New Roman" w:eastAsia="仿宋_GB2312"/>
        </w:rPr>
        <w:t>3.绩效评价方法</w:t>
      </w:r>
    </w:p>
    <w:p>
      <w:pPr>
        <w:spacing w:line="600" w:lineRule="exact"/>
        <w:ind w:firstLine="640" w:firstLineChars="200"/>
        <w:rPr>
          <w:rFonts w:eastAsia="仿宋_GB2312"/>
          <w:color w:val="000000"/>
          <w:sz w:val="32"/>
          <w:szCs w:val="32"/>
        </w:rPr>
      </w:pPr>
      <w:r>
        <w:rPr>
          <w:rFonts w:eastAsia="仿宋_GB2312"/>
          <w:color w:val="000000"/>
          <w:sz w:val="32"/>
          <w:szCs w:val="32"/>
        </w:rPr>
        <w:t>绩效评价从项目决策、项目过程、项目产出、项目效益四个维度进行评价。评价对象为项目目标实施情况，评价核心为资金的支出完成情况和项目的产出效益。</w:t>
      </w:r>
    </w:p>
    <w:p>
      <w:pPr>
        <w:spacing w:line="600" w:lineRule="exact"/>
        <w:ind w:firstLine="640" w:firstLineChars="200"/>
        <w:rPr>
          <w:rFonts w:eastAsia="仿宋_GB2312"/>
          <w:color w:val="000000"/>
          <w:sz w:val="32"/>
          <w:szCs w:val="32"/>
        </w:rPr>
      </w:pPr>
      <w:r>
        <w:rPr>
          <w:rFonts w:eastAsia="仿宋_GB2312"/>
          <w:color w:val="000000"/>
          <w:sz w:val="32"/>
          <w:szCs w:val="32"/>
        </w:rPr>
        <w:t>本次评价指标中，既有定性指标又有定量指标，各类指标因考核内容不同和客观标准不同存在较大差异，因此核定具体指标时采用了不同方法，具体评价方法如下：</w:t>
      </w:r>
    </w:p>
    <w:p>
      <w:pPr>
        <w:spacing w:line="600" w:lineRule="exact"/>
        <w:ind w:firstLine="640" w:firstLineChars="200"/>
        <w:rPr>
          <w:rFonts w:eastAsia="仿宋_GB2312"/>
          <w:color w:val="000000"/>
          <w:sz w:val="32"/>
          <w:szCs w:val="32"/>
        </w:rPr>
      </w:pPr>
      <w:r>
        <w:rPr>
          <w:rFonts w:eastAsia="仿宋_GB2312"/>
          <w:color w:val="000000"/>
          <w:sz w:val="32"/>
          <w:szCs w:val="32"/>
        </w:rPr>
        <w:t>（1）成本效益分析法。是指将投入与产出、效益进行关联性分析的方法。</w:t>
      </w:r>
    </w:p>
    <w:p>
      <w:pPr>
        <w:spacing w:line="600" w:lineRule="exact"/>
        <w:ind w:firstLine="640" w:firstLineChars="200"/>
        <w:rPr>
          <w:rFonts w:eastAsia="仿宋_GB2312"/>
          <w:color w:val="000000"/>
          <w:sz w:val="32"/>
          <w:szCs w:val="32"/>
        </w:rPr>
      </w:pPr>
      <w:r>
        <w:rPr>
          <w:rFonts w:eastAsia="仿宋_GB2312"/>
          <w:color w:val="000000"/>
          <w:sz w:val="32"/>
          <w:szCs w:val="32"/>
        </w:rPr>
        <w:t>（2）因素分析法。是指综合分析影响绩效目标实现、实施效果的内外部因素的方法。</w:t>
      </w:r>
    </w:p>
    <w:p>
      <w:pPr>
        <w:spacing w:line="600" w:lineRule="exact"/>
        <w:ind w:firstLine="640" w:firstLineChars="200"/>
        <w:rPr>
          <w:rFonts w:eastAsia="仿宋_GB2312"/>
          <w:color w:val="000000"/>
          <w:sz w:val="32"/>
          <w:szCs w:val="32"/>
        </w:rPr>
      </w:pPr>
      <w:r>
        <w:rPr>
          <w:rFonts w:eastAsia="仿宋_GB2312"/>
          <w:color w:val="000000"/>
          <w:sz w:val="32"/>
          <w:szCs w:val="32"/>
        </w:rPr>
        <w:t>（3）公众评判法。是指通过专家评估、公众问卷及抽样调查等方式进行评判的方法。</w:t>
      </w:r>
    </w:p>
    <w:p>
      <w:pPr>
        <w:pStyle w:val="10"/>
        <w:widowControl w:val="0"/>
        <w:spacing w:before="0" w:after="0" w:line="600" w:lineRule="exact"/>
        <w:ind w:firstLine="643" w:firstLineChars="200"/>
        <w:jc w:val="both"/>
        <w:outlineLvl w:val="9"/>
        <w:rPr>
          <w:rFonts w:ascii="Times New Roman" w:hAnsi="Times New Roman" w:eastAsia="仿宋_GB2312"/>
        </w:rPr>
      </w:pPr>
      <w:r>
        <w:rPr>
          <w:rFonts w:ascii="Times New Roman" w:hAnsi="Times New Roman" w:eastAsia="仿宋_GB2312"/>
        </w:rPr>
        <w:t>4.评价标准</w:t>
      </w:r>
    </w:p>
    <w:p>
      <w:pPr>
        <w:pStyle w:val="1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绩效评价标准通常包括计划标准、行业标准、历史标准等，用于对绩效指标完成情况进行比较、分析、评价。本次评价主要采用了计划标准、预算支出标准。</w:t>
      </w:r>
    </w:p>
    <w:p>
      <w:pPr>
        <w:pStyle w:val="1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（1）计划标准。指以预先制定的目标、计划、预算、定额等作为评价标准。</w:t>
      </w:r>
    </w:p>
    <w:p>
      <w:pPr>
        <w:pStyle w:val="1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（2）财政部门和预算部门确认或认可的其他标准。</w:t>
      </w:r>
    </w:p>
    <w:p>
      <w:pPr>
        <w:pStyle w:val="10"/>
        <w:numPr>
          <w:ilvl w:val="0"/>
          <w:numId w:val="1"/>
        </w:numPr>
        <w:spacing w:before="0" w:after="0" w:line="600" w:lineRule="exact"/>
        <w:ind w:firstLine="711" w:firstLineChars="200"/>
        <w:jc w:val="both"/>
        <w:rPr>
          <w:rFonts w:ascii="Times New Roman" w:hAnsi="Times New Roman" w:eastAsia="楷体"/>
          <w:color w:val="000000"/>
          <w:spacing w:val="17"/>
        </w:rPr>
      </w:pPr>
      <w:r>
        <w:rPr>
          <w:rFonts w:ascii="Times New Roman" w:hAnsi="Times New Roman" w:eastAsia="楷体"/>
          <w:color w:val="000000"/>
          <w:spacing w:val="17"/>
        </w:rPr>
        <w:t>绩效评价工作过程</w:t>
      </w:r>
    </w:p>
    <w:p>
      <w:pPr>
        <w:spacing w:line="600" w:lineRule="exact"/>
        <w:ind w:firstLine="643" w:firstLineChars="200"/>
        <w:rPr>
          <w:rFonts w:eastAsia="仿宋_GB2312"/>
          <w:b/>
          <w:bCs/>
          <w:sz w:val="32"/>
          <w:szCs w:val="32"/>
        </w:rPr>
      </w:pPr>
      <w:r>
        <w:rPr>
          <w:rFonts w:eastAsia="仿宋_GB2312"/>
          <w:b/>
          <w:bCs/>
          <w:sz w:val="32"/>
          <w:szCs w:val="32"/>
        </w:rPr>
        <w:t>1.前期准备与规划</w:t>
      </w:r>
    </w:p>
    <w:p>
      <w:pPr>
        <w:spacing w:line="600" w:lineRule="exact"/>
        <w:ind w:firstLine="640" w:firstLineChars="200"/>
        <w:rPr>
          <w:rFonts w:eastAsia="仿宋_GB2312"/>
          <w:sz w:val="32"/>
          <w:szCs w:val="32"/>
        </w:rPr>
      </w:pPr>
      <w:r>
        <w:rPr>
          <w:rFonts w:eastAsia="仿宋_GB2312"/>
          <w:sz w:val="32"/>
          <w:szCs w:val="32"/>
        </w:rPr>
        <w:t>在项目绩效评价工作启动之初，成立了</w:t>
      </w:r>
      <w:r>
        <w:rPr>
          <w:rFonts w:hint="eastAsia" w:eastAsia="仿宋_GB2312"/>
          <w:sz w:val="32"/>
          <w:szCs w:val="32"/>
        </w:rPr>
        <w:t>项目绩效</w:t>
      </w:r>
      <w:r>
        <w:rPr>
          <w:rFonts w:eastAsia="仿宋_GB2312"/>
          <w:sz w:val="32"/>
          <w:szCs w:val="32"/>
        </w:rPr>
        <w:t>评价工作小组，小组成员由财务人员、项目管理人员及相关技术骨干组成，制定了详细的工作计划，明确了评价工作的目标、范围、重点及时间安排，从多角度、全方位对项目绩效进行评价</w:t>
      </w:r>
      <w:r>
        <w:rPr>
          <w:rFonts w:hint="eastAsia" w:eastAsia="仿宋_GB2312"/>
          <w:sz w:val="32"/>
          <w:szCs w:val="32"/>
        </w:rPr>
        <w:t>，</w:t>
      </w:r>
      <w:r>
        <w:rPr>
          <w:rFonts w:eastAsia="仿宋_GB2312"/>
          <w:sz w:val="32"/>
          <w:szCs w:val="32"/>
        </w:rPr>
        <w:t>为评价工作的顺利开展奠定了坚实基础。</w:t>
      </w:r>
    </w:p>
    <w:p>
      <w:pPr>
        <w:spacing w:line="600" w:lineRule="exact"/>
        <w:ind w:firstLine="643" w:firstLineChars="200"/>
        <w:rPr>
          <w:rFonts w:eastAsia="仿宋_GB2312"/>
          <w:b/>
          <w:bCs/>
          <w:sz w:val="32"/>
          <w:szCs w:val="32"/>
        </w:rPr>
      </w:pPr>
      <w:r>
        <w:rPr>
          <w:rFonts w:eastAsia="仿宋_GB2312"/>
          <w:b/>
          <w:bCs/>
          <w:sz w:val="32"/>
          <w:szCs w:val="32"/>
        </w:rPr>
        <w:t>2.指标体系构建</w:t>
      </w:r>
    </w:p>
    <w:p>
      <w:pPr>
        <w:spacing w:line="600" w:lineRule="exact"/>
        <w:ind w:firstLine="640" w:firstLineChars="200"/>
        <w:rPr>
          <w:rFonts w:eastAsia="仿宋_GB2312"/>
          <w:sz w:val="32"/>
          <w:szCs w:val="32"/>
        </w:rPr>
      </w:pPr>
      <w:r>
        <w:rPr>
          <w:rFonts w:eastAsia="仿宋_GB2312"/>
          <w:sz w:val="32"/>
          <w:szCs w:val="32"/>
        </w:rPr>
        <w:t>依据项目的性质、目标以及预期成果，构建了涵盖</w:t>
      </w:r>
      <w:r>
        <w:rPr>
          <w:rFonts w:eastAsia="仿宋_GB2312"/>
          <w:color w:val="000000"/>
          <w:sz w:val="32"/>
          <w:szCs w:val="32"/>
        </w:rPr>
        <w:t>项目决策、项目过程、项目产出、项目效益四个维度</w:t>
      </w:r>
      <w:r>
        <w:rPr>
          <w:rFonts w:eastAsia="仿宋_GB2312"/>
          <w:sz w:val="32"/>
          <w:szCs w:val="32"/>
        </w:rPr>
        <w:t>科学合理的绩效评价指标体系，选取了具有代表性和可衡量性的关键指标，并为每个指标设定了明确的评价标准与权重，确保评价结果能够全面、准确地反映项目的绩效状况。</w:t>
      </w:r>
    </w:p>
    <w:p>
      <w:pPr>
        <w:spacing w:line="600" w:lineRule="exact"/>
        <w:ind w:firstLine="643" w:firstLineChars="200"/>
        <w:rPr>
          <w:rFonts w:eastAsia="仿宋_GB2312"/>
          <w:b/>
          <w:bCs/>
          <w:sz w:val="32"/>
          <w:szCs w:val="32"/>
        </w:rPr>
      </w:pPr>
      <w:r>
        <w:rPr>
          <w:rFonts w:eastAsia="仿宋_GB2312"/>
          <w:b/>
          <w:bCs/>
          <w:sz w:val="32"/>
          <w:szCs w:val="32"/>
        </w:rPr>
        <w:t>3.数据收集与整理</w:t>
      </w:r>
    </w:p>
    <w:p>
      <w:pPr>
        <w:spacing w:line="600" w:lineRule="exact"/>
        <w:ind w:firstLine="640" w:firstLineChars="200"/>
        <w:rPr>
          <w:rFonts w:eastAsia="仿宋_GB2312"/>
          <w:sz w:val="32"/>
          <w:szCs w:val="32"/>
        </w:rPr>
      </w:pPr>
      <w:r>
        <w:rPr>
          <w:rFonts w:eastAsia="仿宋_GB2312"/>
          <w:sz w:val="32"/>
          <w:szCs w:val="32"/>
        </w:rPr>
        <w:t>广泛收集与项目相关的财务报表、项目文档、业务数据、使用部门反馈</w:t>
      </w:r>
      <w:r>
        <w:rPr>
          <w:rFonts w:hint="eastAsia" w:eastAsia="仿宋_GB2312"/>
          <w:sz w:val="32"/>
          <w:szCs w:val="32"/>
        </w:rPr>
        <w:t>等</w:t>
      </w:r>
      <w:r>
        <w:rPr>
          <w:rFonts w:eastAsia="仿宋_GB2312"/>
          <w:sz w:val="32"/>
          <w:szCs w:val="32"/>
        </w:rPr>
        <w:t>各类数据。在数据收集过程中，注重数据的质量与完整性，对缺失或异常的数据进行了合理的处理和补充</w:t>
      </w:r>
      <w:r>
        <w:rPr>
          <w:rFonts w:hint="eastAsia" w:eastAsia="仿宋_GB2312"/>
          <w:sz w:val="32"/>
          <w:szCs w:val="32"/>
        </w:rPr>
        <w:t>，并</w:t>
      </w:r>
      <w:r>
        <w:rPr>
          <w:rFonts w:eastAsia="仿宋_GB2312"/>
          <w:sz w:val="32"/>
          <w:szCs w:val="32"/>
        </w:rPr>
        <w:t>对收集到的数据进行了系统的整理与分类，为后续的数据分析提供了有力支持。</w:t>
      </w:r>
    </w:p>
    <w:p>
      <w:pPr>
        <w:spacing w:line="600" w:lineRule="exact"/>
        <w:ind w:firstLine="643" w:firstLineChars="200"/>
        <w:rPr>
          <w:rFonts w:eastAsia="仿宋_GB2312"/>
          <w:b/>
          <w:bCs/>
          <w:sz w:val="32"/>
          <w:szCs w:val="32"/>
        </w:rPr>
      </w:pPr>
      <w:r>
        <w:rPr>
          <w:rFonts w:eastAsia="仿宋_GB2312"/>
          <w:b/>
          <w:bCs/>
          <w:sz w:val="32"/>
          <w:szCs w:val="32"/>
        </w:rPr>
        <w:t>4.数据分析与评估</w:t>
      </w:r>
    </w:p>
    <w:p>
      <w:pPr>
        <w:spacing w:line="600" w:lineRule="exact"/>
        <w:ind w:firstLine="640" w:firstLineChars="200"/>
        <w:rPr>
          <w:rFonts w:eastAsia="仿宋_GB2312"/>
          <w:sz w:val="32"/>
          <w:szCs w:val="32"/>
        </w:rPr>
      </w:pPr>
      <w:r>
        <w:rPr>
          <w:rFonts w:eastAsia="仿宋_GB2312"/>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spacing w:line="600" w:lineRule="exact"/>
        <w:ind w:firstLine="643" w:firstLineChars="200"/>
        <w:rPr>
          <w:rFonts w:eastAsia="仿宋_GB2312"/>
          <w:b/>
          <w:bCs/>
          <w:sz w:val="32"/>
          <w:szCs w:val="32"/>
        </w:rPr>
      </w:pPr>
      <w:r>
        <w:rPr>
          <w:rFonts w:eastAsia="仿宋_GB2312"/>
          <w:b/>
          <w:bCs/>
          <w:sz w:val="32"/>
          <w:szCs w:val="32"/>
        </w:rPr>
        <w:t>5.报告撰写与反馈</w:t>
      </w:r>
    </w:p>
    <w:p>
      <w:pPr>
        <w:spacing w:line="600" w:lineRule="exact"/>
        <w:ind w:firstLine="640" w:firstLineChars="200"/>
        <w:rPr>
          <w:rFonts w:eastAsia="仿宋_GB2312"/>
          <w:sz w:val="32"/>
          <w:szCs w:val="32"/>
        </w:rPr>
      </w:pPr>
      <w:r>
        <w:rPr>
          <w:rFonts w:eastAsia="仿宋_GB2312"/>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spacing w:line="600" w:lineRule="exact"/>
        <w:ind w:firstLine="643" w:firstLineChars="200"/>
        <w:rPr>
          <w:rFonts w:eastAsia="仿宋_GB2312"/>
          <w:b/>
          <w:bCs/>
          <w:sz w:val="32"/>
          <w:szCs w:val="32"/>
        </w:rPr>
      </w:pPr>
      <w:r>
        <w:rPr>
          <w:rFonts w:eastAsia="仿宋_GB2312"/>
          <w:b/>
          <w:bCs/>
          <w:sz w:val="32"/>
          <w:szCs w:val="32"/>
        </w:rPr>
        <w:t>6.后续跟踪与改进</w:t>
      </w:r>
    </w:p>
    <w:p>
      <w:pPr>
        <w:spacing w:line="600" w:lineRule="exact"/>
        <w:ind w:firstLine="640" w:firstLineChars="200"/>
        <w:rPr>
          <w:rFonts w:eastAsia="仿宋_GB2312"/>
          <w:sz w:val="32"/>
          <w:szCs w:val="32"/>
        </w:rPr>
      </w:pPr>
      <w:r>
        <w:rPr>
          <w:rFonts w:eastAsia="仿宋_GB2312"/>
          <w:sz w:val="32"/>
          <w:szCs w:val="32"/>
        </w:rPr>
        <w:t>在评价报告提交后，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2"/>
        </w:numPr>
        <w:spacing w:line="600" w:lineRule="exact"/>
        <w:ind w:firstLine="640" w:firstLineChars="200"/>
        <w:rPr>
          <w:rFonts w:eastAsia="黑体"/>
          <w:sz w:val="32"/>
          <w:szCs w:val="32"/>
        </w:rPr>
      </w:pPr>
      <w:r>
        <w:rPr>
          <w:rFonts w:eastAsia="黑体"/>
          <w:sz w:val="32"/>
          <w:szCs w:val="32"/>
        </w:rPr>
        <w:t>综合评价情况及评价结论（附相关评分表）</w:t>
      </w:r>
    </w:p>
    <w:p>
      <w:pPr>
        <w:pStyle w:val="10"/>
        <w:spacing w:before="0" w:after="0" w:line="600" w:lineRule="exact"/>
        <w:ind w:firstLine="643" w:firstLineChars="200"/>
        <w:jc w:val="both"/>
        <w:rPr>
          <w:rFonts w:ascii="Times New Roman" w:hAnsi="Times New Roman" w:eastAsia="楷体_GB2312"/>
        </w:rPr>
      </w:pPr>
      <w:r>
        <w:rPr>
          <w:rFonts w:ascii="Times New Roman" w:hAnsi="Times New Roman" w:eastAsia="楷体_GB2312"/>
        </w:rPr>
        <w:t>（一）评价情况</w:t>
      </w:r>
    </w:p>
    <w:p>
      <w:pPr>
        <w:pStyle w:val="9"/>
        <w:widowControl/>
        <w:spacing w:beforeAutospacing="0" w:afterAutospacing="0" w:line="600" w:lineRule="exact"/>
        <w:ind w:firstLine="640" w:firstLineChars="200"/>
        <w:jc w:val="both"/>
        <w:rPr>
          <w:rFonts w:eastAsia="仿宋_GB2312"/>
          <w:sz w:val="32"/>
          <w:szCs w:val="32"/>
        </w:rPr>
      </w:pPr>
      <w:r>
        <w:rPr>
          <w:rFonts w:eastAsia="仿宋_GB2312"/>
          <w:sz w:val="32"/>
          <w:szCs w:val="32"/>
        </w:rPr>
        <w:t>本项目的综合评价基于对项目各方面绩效的深入分析与评估。从项目目标的达成情况来看，</w:t>
      </w:r>
      <w:r>
        <w:rPr>
          <w:rFonts w:hint="eastAsia" w:eastAsia="仿宋_GB2312"/>
          <w:sz w:val="32"/>
          <w:szCs w:val="32"/>
        </w:rPr>
        <w:t>本项目</w:t>
      </w:r>
      <w:r>
        <w:rPr>
          <w:rFonts w:eastAsia="仿宋_GB2312"/>
          <w:sz w:val="32"/>
          <w:szCs w:val="32"/>
        </w:rPr>
        <w:t>在公共数据授权和数据要素交易课题研究、自治区数字政府“一网统管”规划服务项目等方面表现出色，达到了预期的标准与要求</w:t>
      </w:r>
      <w:r>
        <w:rPr>
          <w:rFonts w:hint="eastAsia" w:eastAsia="仿宋_GB2312"/>
          <w:sz w:val="32"/>
          <w:szCs w:val="32"/>
        </w:rPr>
        <w:t>，在</w:t>
      </w:r>
      <w:r>
        <w:rPr>
          <w:rFonts w:eastAsia="仿宋_GB2312"/>
          <w:sz w:val="32"/>
          <w:szCs w:val="32"/>
        </w:rPr>
        <w:t>总体规划、实施方案</w:t>
      </w:r>
      <w:r>
        <w:rPr>
          <w:rFonts w:hint="eastAsia" w:eastAsia="仿宋_GB2312"/>
          <w:sz w:val="32"/>
          <w:szCs w:val="32"/>
        </w:rPr>
        <w:t>的编制方面</w:t>
      </w:r>
      <w:r>
        <w:rPr>
          <w:rFonts w:eastAsia="仿宋_GB2312"/>
          <w:sz w:val="32"/>
          <w:szCs w:val="32"/>
        </w:rPr>
        <w:t>取得了显著的成效</w:t>
      </w:r>
      <w:r>
        <w:rPr>
          <w:rFonts w:hint="eastAsia" w:eastAsia="仿宋_GB2312"/>
          <w:sz w:val="32"/>
          <w:szCs w:val="32"/>
        </w:rPr>
        <w:t>。</w:t>
      </w:r>
      <w:r>
        <w:rPr>
          <w:rFonts w:eastAsia="仿宋_GB2312"/>
          <w:sz w:val="32"/>
          <w:szCs w:val="32"/>
        </w:rPr>
        <w:t>在项目管理方面，</w:t>
      </w:r>
      <w:r>
        <w:rPr>
          <w:rFonts w:hint="eastAsia" w:eastAsia="仿宋_GB2312"/>
          <w:sz w:val="32"/>
          <w:szCs w:val="32"/>
        </w:rPr>
        <w:t>精心统筹规划项目，明确各阶段的目标与任务，合理调配人力物力，整个项目顺利推进，同时在预算执行上精准把控，未出现超支现象；在时间管理方面，严格遵循支付计划，在项目工作进度推进的同时，加快支付进度，使工作进度与支付进度有效匹配，确保项目按时完成。</w:t>
      </w:r>
      <w:r>
        <w:rPr>
          <w:rFonts w:eastAsia="仿宋_GB2312"/>
          <w:sz w:val="32"/>
          <w:szCs w:val="32"/>
        </w:rPr>
        <w:t>从项目效益的角度来看，本项目实现了预期的经济效益、社会效益。具体而言，保障了机关事务的正常运转，提升了自治区数字化发展整体</w:t>
      </w:r>
      <w:r>
        <w:rPr>
          <w:rFonts w:hint="eastAsia" w:eastAsia="仿宋_GB2312"/>
          <w:sz w:val="32"/>
          <w:szCs w:val="32"/>
        </w:rPr>
        <w:t>的</w:t>
      </w:r>
      <w:r>
        <w:rPr>
          <w:rFonts w:eastAsia="仿宋_GB2312"/>
          <w:sz w:val="32"/>
          <w:szCs w:val="32"/>
        </w:rPr>
        <w:t>经济效益及社会效益，为项目的利益相关者带来了实实在在的利益。综上所述，数字化发展专项业务经费在绩效评价中表现出色，达到了项目的预期目标，并在多个方面取得了显著的成效。</w:t>
      </w:r>
    </w:p>
    <w:p>
      <w:pPr>
        <w:pStyle w:val="10"/>
        <w:spacing w:before="0" w:after="0" w:line="600" w:lineRule="exact"/>
        <w:ind w:firstLine="643" w:firstLineChars="200"/>
        <w:jc w:val="both"/>
        <w:rPr>
          <w:rFonts w:ascii="Times New Roman" w:hAnsi="Times New Roman" w:eastAsia="楷体_GB2312"/>
        </w:rPr>
      </w:pPr>
      <w:r>
        <w:rPr>
          <w:rFonts w:ascii="Times New Roman" w:hAnsi="Times New Roman" w:eastAsia="楷体_GB2312"/>
        </w:rPr>
        <w:t>（二）评价结论</w:t>
      </w:r>
    </w:p>
    <w:p>
      <w:pPr>
        <w:pStyle w:val="10"/>
        <w:widowControl w:val="0"/>
        <w:spacing w:before="0" w:after="0" w:line="60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99.08分，属于优。其中，项目决策类指标权重为20分，得分为20分，得分率为100%。项目过程类指标权重为20分，得分为19.83分，得分率为99.15%。项目产出类指标权重为40分，得分为40分，得分率为98.13%。项目效益类指标权重为20分，得分为20分，得分率为100%。具体打分情况详见：附件1综合评分表。</w:t>
      </w:r>
    </w:p>
    <w:p>
      <w:pPr>
        <w:pStyle w:val="10"/>
        <w:spacing w:before="0" w:after="0" w:line="600" w:lineRule="exact"/>
        <w:jc w:val="both"/>
        <w:rPr>
          <w:rFonts w:ascii="Times New Roman" w:hAnsi="Times New Roman" w:eastAsia="仿宋_GB2312"/>
          <w:sz w:val="21"/>
          <w:szCs w:val="21"/>
        </w:rPr>
      </w:pPr>
      <w:r>
        <w:rPr>
          <w:rFonts w:ascii="Times New Roman" w:hAnsi="Times New Roman" w:eastAsia="仿宋_GB2312"/>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noWrap w:val="0"/>
            <w:vAlign w:val="center"/>
          </w:tcPr>
          <w:p>
            <w:pPr>
              <w:spacing w:line="600" w:lineRule="exact"/>
              <w:rPr>
                <w:rFonts w:eastAsia="仿宋_GB2312"/>
                <w:b/>
                <w:bCs/>
                <w:color w:val="000000"/>
                <w:szCs w:val="21"/>
              </w:rPr>
            </w:pPr>
            <w:r>
              <w:rPr>
                <w:rFonts w:eastAsia="仿宋_GB2312"/>
                <w:b/>
                <w:bCs/>
                <w:color w:val="000000"/>
                <w:szCs w:val="21"/>
              </w:rPr>
              <w:t>一级指标</w:t>
            </w:r>
          </w:p>
        </w:tc>
        <w:tc>
          <w:tcPr>
            <w:tcW w:w="2168" w:type="dxa"/>
            <w:tcBorders>
              <w:top w:val="single" w:color="auto" w:sz="4" w:space="0"/>
              <w:left w:val="nil"/>
              <w:bottom w:val="single" w:color="auto" w:sz="4" w:space="0"/>
              <w:right w:val="single" w:color="auto" w:sz="4" w:space="0"/>
            </w:tcBorders>
            <w:shd w:val="clear" w:color="000000" w:fill="BEBEBE"/>
            <w:noWrap w:val="0"/>
            <w:vAlign w:val="center"/>
          </w:tcPr>
          <w:p>
            <w:pPr>
              <w:spacing w:line="600" w:lineRule="exact"/>
              <w:rPr>
                <w:rFonts w:eastAsia="仿宋_GB2312"/>
                <w:b/>
                <w:bCs/>
                <w:color w:val="000000"/>
                <w:szCs w:val="21"/>
              </w:rPr>
            </w:pPr>
            <w:r>
              <w:rPr>
                <w:rFonts w:eastAsia="仿宋_GB2312"/>
                <w:b/>
                <w:bCs/>
                <w:color w:val="000000"/>
                <w:szCs w:val="21"/>
              </w:rPr>
              <w:t>权重分</w:t>
            </w:r>
          </w:p>
        </w:tc>
        <w:tc>
          <w:tcPr>
            <w:tcW w:w="2278" w:type="dxa"/>
            <w:tcBorders>
              <w:top w:val="single" w:color="auto" w:sz="4" w:space="0"/>
              <w:left w:val="nil"/>
              <w:bottom w:val="single" w:color="auto" w:sz="4" w:space="0"/>
              <w:right w:val="single" w:color="auto" w:sz="4" w:space="0"/>
            </w:tcBorders>
            <w:shd w:val="clear" w:color="000000" w:fill="BEBEBE"/>
            <w:noWrap w:val="0"/>
            <w:vAlign w:val="center"/>
          </w:tcPr>
          <w:p>
            <w:pPr>
              <w:spacing w:line="600" w:lineRule="exact"/>
              <w:rPr>
                <w:rFonts w:eastAsia="仿宋_GB2312"/>
                <w:b/>
                <w:bCs/>
                <w:color w:val="000000"/>
                <w:szCs w:val="21"/>
              </w:rPr>
            </w:pPr>
            <w:r>
              <w:rPr>
                <w:rFonts w:eastAsia="仿宋_GB2312"/>
                <w:b/>
                <w:bCs/>
                <w:color w:val="000000"/>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项目决策</w:t>
            </w:r>
          </w:p>
        </w:tc>
        <w:tc>
          <w:tcPr>
            <w:tcW w:w="2168" w:type="dxa"/>
            <w:tcBorders>
              <w:top w:val="nil"/>
              <w:left w:val="nil"/>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项目过程</w:t>
            </w:r>
          </w:p>
        </w:tc>
        <w:tc>
          <w:tcPr>
            <w:tcW w:w="2168" w:type="dxa"/>
            <w:tcBorders>
              <w:top w:val="nil"/>
              <w:left w:val="nil"/>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19.83</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项目产出</w:t>
            </w:r>
          </w:p>
        </w:tc>
        <w:tc>
          <w:tcPr>
            <w:tcW w:w="2168" w:type="dxa"/>
            <w:tcBorders>
              <w:top w:val="nil"/>
              <w:left w:val="nil"/>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40</w:t>
            </w:r>
          </w:p>
        </w:tc>
        <w:tc>
          <w:tcPr>
            <w:tcW w:w="2278" w:type="dxa"/>
            <w:tcBorders>
              <w:top w:val="nil"/>
              <w:left w:val="nil"/>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项目效益</w:t>
            </w:r>
          </w:p>
        </w:tc>
        <w:tc>
          <w:tcPr>
            <w:tcW w:w="2168" w:type="dxa"/>
            <w:tcBorders>
              <w:top w:val="nil"/>
              <w:left w:val="nil"/>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noWrap w:val="0"/>
            <w:vAlign w:val="center"/>
          </w:tcPr>
          <w:p>
            <w:pPr>
              <w:spacing w:line="600" w:lineRule="exact"/>
              <w:rPr>
                <w:rFonts w:eastAsia="仿宋_GB2312"/>
                <w:color w:val="000000"/>
                <w:szCs w:val="21"/>
              </w:rPr>
            </w:pPr>
            <w:r>
              <w:rPr>
                <w:rFonts w:eastAsia="仿宋_GB2312"/>
                <w:color w:val="000000"/>
                <w:szCs w:val="21"/>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noWrap w:val="0"/>
            <w:vAlign w:val="center"/>
          </w:tcPr>
          <w:p>
            <w:pPr>
              <w:spacing w:line="600" w:lineRule="exact"/>
              <w:rPr>
                <w:rFonts w:eastAsia="仿宋_GB2312"/>
                <w:b/>
                <w:bCs/>
                <w:color w:val="000000"/>
                <w:szCs w:val="21"/>
              </w:rPr>
            </w:pPr>
            <w:r>
              <w:rPr>
                <w:rFonts w:eastAsia="仿宋_GB2312"/>
                <w:b/>
                <w:bCs/>
                <w:color w:val="000000"/>
                <w:szCs w:val="21"/>
              </w:rPr>
              <w:t>合计</w:t>
            </w:r>
          </w:p>
        </w:tc>
        <w:tc>
          <w:tcPr>
            <w:tcW w:w="2168" w:type="dxa"/>
            <w:tcBorders>
              <w:top w:val="nil"/>
              <w:left w:val="nil"/>
              <w:bottom w:val="single" w:color="auto" w:sz="4" w:space="0"/>
              <w:right w:val="single" w:color="auto" w:sz="4" w:space="0"/>
            </w:tcBorders>
            <w:noWrap w:val="0"/>
            <w:vAlign w:val="center"/>
          </w:tcPr>
          <w:p>
            <w:pPr>
              <w:spacing w:line="600" w:lineRule="exact"/>
              <w:rPr>
                <w:rFonts w:eastAsia="仿宋_GB2312"/>
                <w:b/>
                <w:bCs/>
                <w:color w:val="000000"/>
                <w:szCs w:val="21"/>
              </w:rPr>
            </w:pPr>
            <w:r>
              <w:rPr>
                <w:rFonts w:eastAsia="仿宋_GB2312"/>
                <w:b/>
                <w:bCs/>
                <w:color w:val="000000"/>
                <w:szCs w:val="21"/>
              </w:rPr>
              <w:t>100</w:t>
            </w:r>
          </w:p>
        </w:tc>
        <w:tc>
          <w:tcPr>
            <w:tcW w:w="2278" w:type="dxa"/>
            <w:tcBorders>
              <w:top w:val="nil"/>
              <w:left w:val="nil"/>
              <w:bottom w:val="single" w:color="auto" w:sz="4" w:space="0"/>
              <w:right w:val="single" w:color="auto" w:sz="4" w:space="0"/>
            </w:tcBorders>
            <w:noWrap w:val="0"/>
            <w:vAlign w:val="center"/>
          </w:tcPr>
          <w:p>
            <w:pPr>
              <w:spacing w:line="600" w:lineRule="exact"/>
              <w:rPr>
                <w:rFonts w:eastAsia="仿宋_GB2312"/>
                <w:b/>
                <w:bCs/>
                <w:color w:val="000000"/>
                <w:szCs w:val="21"/>
              </w:rPr>
            </w:pPr>
            <w:r>
              <w:rPr>
                <w:rFonts w:eastAsia="仿宋_GB2312"/>
                <w:b/>
                <w:bCs/>
                <w:color w:val="000000"/>
                <w:szCs w:val="21"/>
              </w:rPr>
              <w:t>99.83</w:t>
            </w:r>
          </w:p>
        </w:tc>
      </w:tr>
    </w:tbl>
    <w:p>
      <w:pPr>
        <w:spacing w:line="600" w:lineRule="exact"/>
        <w:ind w:firstLine="640" w:firstLineChars="200"/>
        <w:rPr>
          <w:rFonts w:eastAsia="黑体"/>
          <w:sz w:val="32"/>
          <w:szCs w:val="32"/>
        </w:rPr>
      </w:pPr>
      <w:r>
        <w:rPr>
          <w:rFonts w:eastAsia="黑体"/>
          <w:sz w:val="32"/>
          <w:szCs w:val="32"/>
        </w:rPr>
        <w:t>四、绩效评价指标分析</w:t>
      </w:r>
    </w:p>
    <w:p>
      <w:pPr>
        <w:pStyle w:val="10"/>
        <w:spacing w:before="0" w:after="0" w:line="60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rPr>
          <w:rFonts w:eastAsia="仿宋_GB2312"/>
          <w:sz w:val="32"/>
          <w:szCs w:val="32"/>
          <w:highlight w:val="yellow"/>
        </w:rPr>
      </w:pPr>
      <w:r>
        <w:rPr>
          <w:rFonts w:eastAsia="仿宋_GB2312"/>
          <w:sz w:val="32"/>
          <w:szCs w:val="32"/>
        </w:rPr>
        <w:t>项目决策类指标包括项目立项、绩效目标和资金投入三方面的内容，由6个三级指标构成，权重分值为20分，实际得分20分，得分率为100%。</w:t>
      </w:r>
    </w:p>
    <w:p>
      <w:pPr>
        <w:pStyle w:val="24"/>
        <w:spacing w:line="600" w:lineRule="exact"/>
        <w:ind w:firstLine="640"/>
        <w:rPr>
          <w:rFonts w:eastAsia="仿宋_GB2312"/>
          <w:b/>
          <w:bCs/>
          <w:sz w:val="32"/>
          <w:szCs w:val="32"/>
        </w:rPr>
      </w:pPr>
      <w:r>
        <w:rPr>
          <w:rFonts w:eastAsia="仿宋_GB2312"/>
          <w:b/>
          <w:bCs/>
          <w:sz w:val="32"/>
          <w:szCs w:val="32"/>
        </w:rPr>
        <w:t>1.项目立项</w:t>
      </w:r>
    </w:p>
    <w:p>
      <w:pPr>
        <w:spacing w:line="600" w:lineRule="exact"/>
        <w:ind w:firstLine="640" w:firstLineChars="200"/>
        <w:outlineLvl w:val="0"/>
        <w:rPr>
          <w:rFonts w:eastAsia="仿宋_GB2312"/>
          <w:sz w:val="32"/>
          <w:szCs w:val="32"/>
        </w:rPr>
      </w:pPr>
      <w:r>
        <w:rPr>
          <w:rFonts w:eastAsia="仿宋_GB2312"/>
          <w:sz w:val="32"/>
          <w:szCs w:val="32"/>
        </w:rPr>
        <w:t>（1）立项依据充分性</w:t>
      </w:r>
    </w:p>
    <w:p>
      <w:pPr>
        <w:spacing w:line="600" w:lineRule="exact"/>
        <w:ind w:firstLine="640" w:firstLineChars="200"/>
        <w:outlineLvl w:val="0"/>
        <w:rPr>
          <w:rFonts w:eastAsia="仿宋_GB2312"/>
          <w:sz w:val="32"/>
          <w:szCs w:val="32"/>
        </w:rPr>
      </w:pPr>
      <w:r>
        <w:rPr>
          <w:rFonts w:eastAsia="仿宋_GB2312"/>
          <w:sz w:val="32"/>
          <w:szCs w:val="32"/>
        </w:rPr>
        <w:t>该项目立项严格遵循国家相关法律法规及发展政策导向，与行业规划要求高度契合。在制定经费预算时，紧密围绕本年度工作重点及计划展开，确保资金合理分配，精准投入。项目属于公共财政支持范畴，且与部门内部其他相关项目不存在重复情况。同时，部门发展规划及职能文件等资料归档完备，为项目顺利实施提供了坚实保障。</w:t>
      </w:r>
    </w:p>
    <w:p>
      <w:pPr>
        <w:spacing w:line="600" w:lineRule="exact"/>
        <w:ind w:firstLine="640" w:firstLineChars="200"/>
        <w:outlineLvl w:val="0"/>
        <w:rPr>
          <w:rFonts w:eastAsia="仿宋_GB2312"/>
          <w:sz w:val="32"/>
          <w:szCs w:val="32"/>
        </w:rPr>
      </w:pPr>
      <w:r>
        <w:rPr>
          <w:rFonts w:eastAsia="仿宋_GB2312"/>
          <w:sz w:val="32"/>
          <w:szCs w:val="32"/>
        </w:rPr>
        <w:t>（2）立项程序规范性</w:t>
      </w:r>
    </w:p>
    <w:p>
      <w:pPr>
        <w:spacing w:line="600" w:lineRule="exact"/>
        <w:ind w:firstLine="640" w:firstLineChars="200"/>
        <w:outlineLvl w:val="0"/>
        <w:rPr>
          <w:rFonts w:eastAsia="仿宋_GB2312"/>
          <w:sz w:val="32"/>
          <w:szCs w:val="32"/>
        </w:rPr>
      </w:pPr>
      <w:r>
        <w:rPr>
          <w:rFonts w:hint="eastAsia" w:eastAsia="仿宋_GB2312"/>
          <w:sz w:val="32"/>
          <w:szCs w:val="32"/>
        </w:rPr>
        <w:t>该</w:t>
      </w:r>
      <w:r>
        <w:rPr>
          <w:rFonts w:eastAsia="仿宋_GB2312"/>
          <w:sz w:val="32"/>
          <w:szCs w:val="32"/>
        </w:rPr>
        <w:t>项目申请、设立过程符合相关要求，</w:t>
      </w:r>
      <w:r>
        <w:rPr>
          <w:rFonts w:eastAsia="仿宋_GB2312"/>
          <w:sz w:val="32"/>
          <w:szCs w:val="32"/>
          <w:lang w:eastAsia="zh-Hans"/>
        </w:rPr>
        <w:t>严格按照审批流程准备符合要求的文件材料</w:t>
      </w:r>
      <w:r>
        <w:rPr>
          <w:rFonts w:hint="eastAsia" w:eastAsia="仿宋_GB2312"/>
          <w:sz w:val="32"/>
          <w:szCs w:val="32"/>
          <w:lang w:eastAsia="zh-Hans"/>
        </w:rPr>
        <w:t>，</w:t>
      </w:r>
      <w:r>
        <w:rPr>
          <w:rFonts w:eastAsia="仿宋_GB2312"/>
          <w:sz w:val="32"/>
          <w:szCs w:val="32"/>
        </w:rPr>
        <w:t>审批文件材料符合相关要求</w:t>
      </w:r>
      <w:r>
        <w:rPr>
          <w:rFonts w:hint="eastAsia" w:eastAsia="仿宋_GB2312"/>
          <w:sz w:val="32"/>
          <w:szCs w:val="32"/>
        </w:rPr>
        <w:t>。</w:t>
      </w:r>
      <w:r>
        <w:rPr>
          <w:rFonts w:eastAsia="仿宋_GB2312"/>
          <w:sz w:val="32"/>
          <w:szCs w:val="32"/>
        </w:rPr>
        <w:t>事前经过必要的风险评估、绩效评估、集体决策，保障了程序的规范性</w:t>
      </w:r>
      <w:r>
        <w:rPr>
          <w:rFonts w:hint="eastAsia" w:eastAsia="仿宋_GB2312"/>
          <w:sz w:val="32"/>
          <w:szCs w:val="32"/>
        </w:rPr>
        <w:t>。</w:t>
      </w:r>
      <w:r>
        <w:rPr>
          <w:rFonts w:eastAsia="仿宋_GB2312"/>
          <w:sz w:val="32"/>
          <w:szCs w:val="32"/>
        </w:rPr>
        <w:t>根据决算依据编制工作计划和经费预算，经过与部门项目分管领导沟通、筛选确定经费预算计划，确定最终预算方案。</w:t>
      </w:r>
    </w:p>
    <w:p>
      <w:pPr>
        <w:pStyle w:val="24"/>
        <w:spacing w:line="600" w:lineRule="exact"/>
        <w:ind w:firstLine="640"/>
        <w:rPr>
          <w:rFonts w:eastAsia="仿宋_GB2312"/>
          <w:b/>
          <w:bCs/>
          <w:sz w:val="32"/>
          <w:szCs w:val="32"/>
        </w:rPr>
      </w:pPr>
      <w:r>
        <w:rPr>
          <w:rFonts w:eastAsia="仿宋_GB2312"/>
          <w:b/>
          <w:bCs/>
          <w:sz w:val="32"/>
          <w:szCs w:val="32"/>
        </w:rPr>
        <w:t>2.绩效目标</w:t>
      </w:r>
    </w:p>
    <w:p>
      <w:pPr>
        <w:spacing w:line="600" w:lineRule="exact"/>
        <w:ind w:firstLine="640" w:firstLineChars="200"/>
        <w:outlineLvl w:val="0"/>
        <w:rPr>
          <w:rFonts w:eastAsia="仿宋_GB2312"/>
          <w:sz w:val="32"/>
          <w:szCs w:val="32"/>
        </w:rPr>
      </w:pPr>
      <w:r>
        <w:rPr>
          <w:rFonts w:eastAsia="仿宋_GB2312"/>
          <w:sz w:val="32"/>
          <w:szCs w:val="32"/>
        </w:rPr>
        <w:t>（1）绩效目标合理性</w:t>
      </w:r>
    </w:p>
    <w:p>
      <w:pPr>
        <w:spacing w:line="600" w:lineRule="exact"/>
        <w:ind w:firstLine="640" w:firstLineChars="200"/>
        <w:outlineLvl w:val="0"/>
        <w:rPr>
          <w:rFonts w:eastAsia="仿宋_GB2312"/>
          <w:sz w:val="32"/>
          <w:szCs w:val="32"/>
          <w:lang w:eastAsia="zh-Hans"/>
        </w:rPr>
      </w:pPr>
      <w:r>
        <w:rPr>
          <w:rFonts w:hint="eastAsia" w:eastAsia="仿宋_GB2312"/>
          <w:sz w:val="32"/>
          <w:szCs w:val="32"/>
          <w:lang w:eastAsia="zh-Hans"/>
        </w:rPr>
        <w:t>年初，结合实际工作科学设定绩效目标，目标依据充分、符合实际，指标清晰、细化，能充分反映并考核项目绩效与实施情况的相符度。绩效目标表已通过审核，绩效目标与实际工作内容相关，实际预算与项目投资额匹配，项目任务分解详细，预期产出效益及效果符合正常业绩水平。</w:t>
      </w:r>
    </w:p>
    <w:p>
      <w:pPr>
        <w:spacing w:line="600" w:lineRule="exact"/>
        <w:ind w:firstLine="640" w:firstLineChars="200"/>
        <w:outlineLvl w:val="0"/>
        <w:rPr>
          <w:rFonts w:eastAsia="仿宋_GB2312"/>
          <w:sz w:val="32"/>
          <w:szCs w:val="32"/>
        </w:rPr>
      </w:pPr>
      <w:r>
        <w:rPr>
          <w:rFonts w:eastAsia="仿宋_GB2312"/>
          <w:sz w:val="32"/>
          <w:szCs w:val="32"/>
        </w:rPr>
        <w:t>（2）绩效指标明确性</w:t>
      </w:r>
    </w:p>
    <w:p>
      <w:pPr>
        <w:pStyle w:val="24"/>
        <w:spacing w:line="600" w:lineRule="exact"/>
        <w:ind w:firstLine="640"/>
        <w:rPr>
          <w:rFonts w:eastAsia="仿宋_GB2312"/>
          <w:kern w:val="2"/>
          <w:sz w:val="32"/>
          <w:szCs w:val="32"/>
        </w:rPr>
      </w:pPr>
      <w:r>
        <w:rPr>
          <w:rFonts w:eastAsia="仿宋_GB2312"/>
          <w:kern w:val="2"/>
          <w:sz w:val="32"/>
          <w:szCs w:val="32"/>
        </w:rPr>
        <w:t>本项目设置了清晰且明确的预期产出效益与效果，以此为导向，将整体绩效目标进行科学且细致的分解，转化为一个个具体可操作的绩效指标。这些绩效指标与项目既定的目标任务数量精准对应，每一个指标都具备清晰的定义、详细的划分以及可衡量的标准，为项目绩效的评估与考核提供了坚实可靠的依据。</w:t>
      </w:r>
    </w:p>
    <w:p>
      <w:pPr>
        <w:pStyle w:val="24"/>
        <w:spacing w:line="600" w:lineRule="exact"/>
        <w:ind w:firstLine="640"/>
        <w:rPr>
          <w:rFonts w:eastAsia="仿宋_GB2312"/>
          <w:b/>
          <w:bCs/>
          <w:sz w:val="32"/>
          <w:szCs w:val="32"/>
        </w:rPr>
      </w:pPr>
      <w:r>
        <w:rPr>
          <w:rFonts w:eastAsia="仿宋_GB2312"/>
          <w:b/>
          <w:bCs/>
          <w:sz w:val="32"/>
          <w:szCs w:val="32"/>
        </w:rPr>
        <w:t>3.资金投入</w:t>
      </w:r>
    </w:p>
    <w:p>
      <w:pPr>
        <w:spacing w:line="600" w:lineRule="exact"/>
        <w:ind w:firstLine="640" w:firstLineChars="200"/>
        <w:outlineLvl w:val="0"/>
        <w:rPr>
          <w:rFonts w:eastAsia="仿宋_GB2312"/>
          <w:sz w:val="32"/>
          <w:szCs w:val="32"/>
        </w:rPr>
      </w:pPr>
      <w:r>
        <w:rPr>
          <w:rFonts w:eastAsia="仿宋_GB2312"/>
          <w:sz w:val="32"/>
          <w:szCs w:val="32"/>
        </w:rPr>
        <w:t>（1）预算编制科学性</w:t>
      </w:r>
    </w:p>
    <w:p>
      <w:pPr>
        <w:spacing w:line="600" w:lineRule="exact"/>
        <w:ind w:firstLine="640" w:firstLineChars="200"/>
        <w:rPr>
          <w:rFonts w:eastAsia="仿宋_GB2312"/>
          <w:sz w:val="32"/>
          <w:szCs w:val="32"/>
        </w:rPr>
      </w:pPr>
      <w:r>
        <w:rPr>
          <w:rFonts w:eastAsia="仿宋_GB2312"/>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pacing w:line="600" w:lineRule="exact"/>
        <w:ind w:firstLine="640" w:firstLineChars="200"/>
        <w:outlineLvl w:val="0"/>
        <w:rPr>
          <w:rFonts w:eastAsia="仿宋_GB2312"/>
          <w:sz w:val="32"/>
          <w:szCs w:val="32"/>
        </w:rPr>
      </w:pPr>
      <w:r>
        <w:rPr>
          <w:rFonts w:eastAsia="仿宋_GB2312"/>
          <w:sz w:val="32"/>
          <w:szCs w:val="32"/>
        </w:rPr>
        <w:t>在预算编制过程中，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pacing w:line="600" w:lineRule="exact"/>
        <w:ind w:firstLine="640" w:firstLineChars="200"/>
        <w:outlineLvl w:val="0"/>
        <w:rPr>
          <w:rFonts w:eastAsia="仿宋_GB2312"/>
          <w:sz w:val="32"/>
          <w:szCs w:val="32"/>
        </w:rPr>
      </w:pPr>
      <w:r>
        <w:rPr>
          <w:rFonts w:eastAsia="仿宋_GB2312"/>
          <w:sz w:val="32"/>
          <w:szCs w:val="32"/>
        </w:rPr>
        <w:t>（2）资金分配合理性</w:t>
      </w:r>
    </w:p>
    <w:p>
      <w:pPr>
        <w:spacing w:line="600" w:lineRule="exact"/>
        <w:ind w:firstLine="640" w:firstLineChars="200"/>
        <w:rPr>
          <w:rFonts w:eastAsia="仿宋_GB2312"/>
          <w:sz w:val="32"/>
          <w:szCs w:val="32"/>
        </w:rPr>
      </w:pPr>
      <w:r>
        <w:rPr>
          <w:rFonts w:eastAsia="仿宋_GB2312"/>
          <w:sz w:val="32"/>
          <w:szCs w:val="32"/>
        </w:rPr>
        <w:t>本项目的资金分配遵循了公平、公正、透明的原则，确保了项目资源的合理配置与高效利用。在资金分配过程中，充分考虑了项目的实际需求与目标，对不同阶段、不同任务的资金进行了科学的规划与安排。</w:t>
      </w:r>
    </w:p>
    <w:p>
      <w:pPr>
        <w:spacing w:line="600" w:lineRule="exact"/>
        <w:ind w:firstLine="640" w:firstLineChars="200"/>
        <w:rPr>
          <w:rFonts w:eastAsia="仿宋_GB2312"/>
          <w:sz w:val="32"/>
          <w:szCs w:val="32"/>
        </w:rPr>
      </w:pPr>
      <w:r>
        <w:rPr>
          <w:rFonts w:eastAsia="仿宋_GB2312"/>
          <w:sz w:val="32"/>
          <w:szCs w:val="32"/>
        </w:rPr>
        <w:t>具体而言，资金分配紧密结合了项目的特点与实际情况，对关键领域与重要环节给予了重点支持。同时，注重资金的均衡分配，避免了资源浪费与资金闲置。此外，资金分配还充分考虑了风险因素，对可能出现的超支情况进行了预留与调整。</w:t>
      </w:r>
    </w:p>
    <w:p>
      <w:pPr>
        <w:spacing w:line="600" w:lineRule="exact"/>
        <w:ind w:firstLine="640" w:firstLineChars="200"/>
        <w:rPr>
          <w:rFonts w:eastAsia="仿宋_GB2312"/>
          <w:sz w:val="32"/>
          <w:szCs w:val="32"/>
        </w:rPr>
      </w:pPr>
      <w:r>
        <w:rPr>
          <w:rFonts w:eastAsia="仿宋_GB2312"/>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3"/>
        </w:numPr>
        <w:spacing w:before="0" w:after="0" w:line="600" w:lineRule="exact"/>
        <w:ind w:firstLine="643" w:firstLineChars="200"/>
        <w:jc w:val="both"/>
        <w:rPr>
          <w:rFonts w:ascii="Times New Roman" w:hAnsi="Times New Roman" w:eastAsia="楷体"/>
        </w:rPr>
      </w:pPr>
      <w:r>
        <w:rPr>
          <w:rFonts w:ascii="Times New Roman" w:hAnsi="Times New Roman" w:eastAsia="楷体"/>
        </w:rPr>
        <w:t>项目过程情况</w:t>
      </w:r>
    </w:p>
    <w:p>
      <w:pPr>
        <w:spacing w:line="600" w:lineRule="exact"/>
        <w:ind w:firstLine="640" w:firstLineChars="200"/>
        <w:outlineLvl w:val="0"/>
        <w:rPr>
          <w:rFonts w:eastAsia="仿宋_GB2312"/>
          <w:sz w:val="32"/>
          <w:szCs w:val="32"/>
        </w:rPr>
      </w:pPr>
      <w:r>
        <w:rPr>
          <w:rFonts w:hint="eastAsia" w:eastAsia="仿宋_GB2312"/>
          <w:sz w:val="32"/>
          <w:szCs w:val="32"/>
        </w:rPr>
        <w:t>本</w:t>
      </w:r>
      <w:r>
        <w:rPr>
          <w:rFonts w:eastAsia="仿宋_GB2312"/>
          <w:sz w:val="32"/>
          <w:szCs w:val="32"/>
        </w:rPr>
        <w:t>项目过程类指标包括资金管理和组织实施两方面的内容，由5个三级指标构成，权重分值为20分，实际得分19.83分，得分率为99.15%。</w:t>
      </w:r>
    </w:p>
    <w:p>
      <w:pPr>
        <w:pStyle w:val="24"/>
        <w:spacing w:line="600" w:lineRule="exact"/>
        <w:ind w:firstLine="640"/>
        <w:rPr>
          <w:rFonts w:eastAsia="仿宋_GB2312"/>
          <w:b/>
          <w:bCs/>
          <w:sz w:val="32"/>
          <w:szCs w:val="32"/>
        </w:rPr>
      </w:pPr>
      <w:r>
        <w:rPr>
          <w:rFonts w:eastAsia="仿宋_GB2312"/>
          <w:b/>
          <w:bCs/>
          <w:sz w:val="32"/>
          <w:szCs w:val="32"/>
        </w:rPr>
        <w:t>1.资金管理</w:t>
      </w:r>
    </w:p>
    <w:p>
      <w:pPr>
        <w:spacing w:line="600" w:lineRule="exact"/>
        <w:ind w:firstLine="640" w:firstLineChars="200"/>
        <w:outlineLvl w:val="0"/>
        <w:rPr>
          <w:rFonts w:eastAsia="仿宋_GB2312"/>
          <w:sz w:val="32"/>
          <w:szCs w:val="32"/>
        </w:rPr>
      </w:pPr>
      <w:r>
        <w:rPr>
          <w:rFonts w:eastAsia="仿宋_GB2312"/>
          <w:sz w:val="32"/>
          <w:szCs w:val="32"/>
        </w:rPr>
        <w:t>（1）资金到位率</w:t>
      </w:r>
    </w:p>
    <w:p>
      <w:pPr>
        <w:spacing w:line="600" w:lineRule="exact"/>
        <w:ind w:firstLine="640" w:firstLineChars="200"/>
        <w:outlineLvl w:val="0"/>
        <w:rPr>
          <w:rFonts w:eastAsia="仿宋_GB2312"/>
          <w:sz w:val="32"/>
          <w:szCs w:val="32"/>
        </w:rPr>
      </w:pPr>
      <w:r>
        <w:rPr>
          <w:rFonts w:eastAsia="仿宋_GB2312"/>
          <w:sz w:val="32"/>
          <w:szCs w:val="32"/>
        </w:rPr>
        <w:t>本项目总投资375万元，财政资金及时足额到位，到位率100%，预算资金按计划进度执行。</w:t>
      </w:r>
    </w:p>
    <w:p>
      <w:pPr>
        <w:spacing w:line="600" w:lineRule="exact"/>
        <w:ind w:firstLine="640" w:firstLineChars="200"/>
        <w:outlineLvl w:val="0"/>
        <w:rPr>
          <w:rFonts w:eastAsia="仿宋_GB2312"/>
          <w:sz w:val="32"/>
          <w:szCs w:val="32"/>
        </w:rPr>
      </w:pPr>
      <w:r>
        <w:rPr>
          <w:rFonts w:eastAsia="仿宋_GB2312"/>
          <w:sz w:val="32"/>
          <w:szCs w:val="32"/>
        </w:rPr>
        <w:t>（2）预算执行率</w:t>
      </w:r>
    </w:p>
    <w:p>
      <w:pPr>
        <w:spacing w:line="600" w:lineRule="exact"/>
        <w:ind w:firstLine="640" w:firstLineChars="200"/>
        <w:outlineLvl w:val="0"/>
        <w:rPr>
          <w:rFonts w:eastAsia="仿宋_GB2312"/>
          <w:sz w:val="32"/>
          <w:szCs w:val="32"/>
        </w:rPr>
      </w:pPr>
      <w:r>
        <w:rPr>
          <w:rFonts w:eastAsia="仿宋_GB2312"/>
          <w:sz w:val="32"/>
          <w:szCs w:val="32"/>
        </w:rPr>
        <w:t>预算编制较为详细，项目资金支出总体能够按照预算执行，预算资金支出358.86万元，预算执行率为95.70%。</w:t>
      </w:r>
    </w:p>
    <w:p>
      <w:pPr>
        <w:spacing w:line="600" w:lineRule="exact"/>
        <w:ind w:firstLine="640" w:firstLineChars="200"/>
        <w:outlineLvl w:val="0"/>
        <w:rPr>
          <w:rFonts w:eastAsia="仿宋_GB2312"/>
          <w:sz w:val="32"/>
          <w:szCs w:val="32"/>
        </w:rPr>
      </w:pPr>
      <w:r>
        <w:rPr>
          <w:rFonts w:eastAsia="仿宋_GB2312"/>
          <w:sz w:val="32"/>
          <w:szCs w:val="32"/>
        </w:rPr>
        <w:t>（3）资金使用合规性</w:t>
      </w:r>
    </w:p>
    <w:p>
      <w:pPr>
        <w:spacing w:line="600" w:lineRule="exact"/>
        <w:ind w:firstLine="640" w:firstLineChars="200"/>
        <w:rPr>
          <w:rFonts w:eastAsia="仿宋_GB2312"/>
          <w:sz w:val="32"/>
          <w:szCs w:val="32"/>
        </w:rPr>
      </w:pPr>
      <w:r>
        <w:rPr>
          <w:rFonts w:hint="eastAsia" w:eastAsia="仿宋_GB2312"/>
          <w:sz w:val="32"/>
          <w:szCs w:val="32"/>
        </w:rPr>
        <w:t>本项目</w:t>
      </w:r>
      <w:r>
        <w:rPr>
          <w:rFonts w:eastAsia="仿宋_GB2312"/>
          <w:sz w:val="32"/>
          <w:szCs w:val="32"/>
        </w:rPr>
        <w:t>资金使用坚持专款专用的原则，定期对财务收支进行自查与自纠，及时发现并纠正可能存在的问题</w:t>
      </w:r>
      <w:r>
        <w:rPr>
          <w:rFonts w:hint="eastAsia" w:eastAsia="仿宋_GB2312"/>
          <w:sz w:val="32"/>
          <w:szCs w:val="32"/>
        </w:rPr>
        <w:t>，</w:t>
      </w:r>
      <w:r>
        <w:rPr>
          <w:rFonts w:eastAsia="仿宋_GB2312"/>
          <w:sz w:val="32"/>
          <w:szCs w:val="32"/>
        </w:rPr>
        <w:t>确保了项目资金不被挪用或截留。</w:t>
      </w:r>
    </w:p>
    <w:p>
      <w:pPr>
        <w:spacing w:line="600" w:lineRule="exact"/>
        <w:ind w:firstLine="640" w:firstLineChars="200"/>
        <w:rPr>
          <w:rFonts w:eastAsia="仿宋_GB2312"/>
          <w:sz w:val="32"/>
          <w:szCs w:val="32"/>
        </w:rPr>
      </w:pPr>
      <w:r>
        <w:rPr>
          <w:rFonts w:eastAsia="仿宋_GB2312"/>
          <w:sz w:val="32"/>
          <w:szCs w:val="32"/>
        </w:rPr>
        <w:t>综上所述，本项目资金使用是合规的、安全的，既符合国家相关法律法规与财务制度的要求，又满足了项目实施的实际需要。资金使用的合规性为项目的实施提供了有力的保障，</w:t>
      </w:r>
      <w:r>
        <w:rPr>
          <w:rFonts w:hint="eastAsia" w:eastAsia="仿宋_GB2312"/>
          <w:sz w:val="32"/>
          <w:szCs w:val="32"/>
        </w:rPr>
        <w:t>同时为</w:t>
      </w:r>
      <w:r>
        <w:rPr>
          <w:rFonts w:eastAsia="仿宋_GB2312"/>
          <w:sz w:val="32"/>
          <w:szCs w:val="32"/>
        </w:rPr>
        <w:t>绩效评价奠定了坚实的基础。</w:t>
      </w:r>
    </w:p>
    <w:p>
      <w:pPr>
        <w:pStyle w:val="24"/>
        <w:spacing w:line="600" w:lineRule="exact"/>
        <w:ind w:firstLine="640"/>
        <w:rPr>
          <w:rFonts w:eastAsia="仿宋_GB2312"/>
          <w:b/>
          <w:bCs/>
          <w:sz w:val="32"/>
          <w:szCs w:val="32"/>
        </w:rPr>
      </w:pPr>
      <w:r>
        <w:rPr>
          <w:rFonts w:eastAsia="仿宋_GB2312"/>
          <w:b/>
          <w:bCs/>
          <w:sz w:val="32"/>
          <w:szCs w:val="32"/>
        </w:rPr>
        <w:t>2.组织实施</w:t>
      </w:r>
    </w:p>
    <w:p>
      <w:pPr>
        <w:spacing w:line="600" w:lineRule="exact"/>
        <w:ind w:firstLine="640" w:firstLineChars="200"/>
        <w:outlineLvl w:val="0"/>
        <w:rPr>
          <w:rFonts w:eastAsia="仿宋_GB2312"/>
          <w:sz w:val="32"/>
          <w:szCs w:val="32"/>
        </w:rPr>
      </w:pPr>
      <w:r>
        <w:rPr>
          <w:rFonts w:eastAsia="仿宋_GB2312"/>
          <w:sz w:val="32"/>
          <w:szCs w:val="32"/>
        </w:rPr>
        <w:t>（1）管理制度健全性</w:t>
      </w:r>
    </w:p>
    <w:p>
      <w:pPr>
        <w:spacing w:line="600" w:lineRule="exact"/>
        <w:ind w:firstLine="640" w:firstLineChars="200"/>
        <w:rPr>
          <w:rFonts w:eastAsia="仿宋_GB2312"/>
          <w:sz w:val="32"/>
          <w:szCs w:val="32"/>
        </w:rPr>
      </w:pPr>
      <w:r>
        <w:rPr>
          <w:rFonts w:eastAsia="仿宋_GB2312"/>
          <w:sz w:val="32"/>
          <w:szCs w:val="32"/>
        </w:rPr>
        <w:t>本项目</w:t>
      </w:r>
      <w:r>
        <w:rPr>
          <w:rFonts w:hint="eastAsia" w:eastAsia="仿宋_GB2312"/>
          <w:sz w:val="32"/>
          <w:szCs w:val="32"/>
        </w:rPr>
        <w:t>严格执行相关</w:t>
      </w:r>
      <w:r>
        <w:rPr>
          <w:rFonts w:eastAsia="仿宋_GB2312"/>
          <w:sz w:val="32"/>
          <w:szCs w:val="32"/>
        </w:rPr>
        <w:t>管理制度体系，为项目的成功实施提供了坚实的制度保障。项目管理制度紧密结合了项目的特点与实际情况，涵盖了项目的策划、组织、实施、监控与收尾等各个环节。在制度</w:t>
      </w:r>
      <w:r>
        <w:rPr>
          <w:rFonts w:hint="eastAsia" w:eastAsia="仿宋_GB2312"/>
          <w:sz w:val="32"/>
          <w:szCs w:val="32"/>
        </w:rPr>
        <w:t>执行中</w:t>
      </w:r>
      <w:r>
        <w:rPr>
          <w:rFonts w:eastAsia="仿宋_GB2312"/>
          <w:sz w:val="32"/>
          <w:szCs w:val="32"/>
        </w:rPr>
        <w:t>，充分考虑了风险因素，制定了相应的风险应对措施与预案，以应对项目实施过程中可能出现的各种风险与挑战。管理制度的健全性不仅体现在制度的完善上，还体现在制度的执行与监督上。建立了有效的监督机制与反馈机制，对项目的实施情况进行定期检查与评估，及时发现并纠正可能存在的问题。</w:t>
      </w:r>
    </w:p>
    <w:p>
      <w:pPr>
        <w:spacing w:line="600" w:lineRule="exact"/>
        <w:ind w:firstLine="640" w:firstLineChars="200"/>
        <w:outlineLvl w:val="0"/>
        <w:rPr>
          <w:rFonts w:eastAsia="仿宋_GB2312"/>
          <w:sz w:val="32"/>
          <w:szCs w:val="32"/>
        </w:rPr>
      </w:pPr>
      <w:r>
        <w:rPr>
          <w:rFonts w:eastAsia="仿宋_GB2312"/>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p>
    <w:p>
      <w:pPr>
        <w:spacing w:line="600" w:lineRule="exact"/>
        <w:ind w:firstLine="640" w:firstLineChars="200"/>
        <w:outlineLvl w:val="0"/>
        <w:rPr>
          <w:rFonts w:eastAsia="仿宋_GB2312"/>
          <w:sz w:val="32"/>
          <w:szCs w:val="32"/>
        </w:rPr>
      </w:pPr>
      <w:r>
        <w:rPr>
          <w:rFonts w:eastAsia="仿宋_GB2312"/>
          <w:sz w:val="32"/>
          <w:szCs w:val="32"/>
        </w:rPr>
        <w:t>（2）制度执行有效性</w:t>
      </w:r>
    </w:p>
    <w:p>
      <w:pPr>
        <w:spacing w:line="600" w:lineRule="exact"/>
        <w:ind w:firstLine="640" w:firstLineChars="200"/>
        <w:rPr>
          <w:rFonts w:eastAsia="仿宋_GB2312"/>
          <w:sz w:val="32"/>
          <w:szCs w:val="32"/>
        </w:rPr>
      </w:pPr>
      <w:r>
        <w:rPr>
          <w:rFonts w:eastAsia="仿宋_GB2312"/>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在具体执行过程中，项目</w:t>
      </w:r>
      <w:r>
        <w:rPr>
          <w:rFonts w:hint="eastAsia" w:eastAsia="仿宋_GB2312"/>
          <w:sz w:val="32"/>
          <w:szCs w:val="32"/>
        </w:rPr>
        <w:t>处室人员</w:t>
      </w:r>
      <w:r>
        <w:rPr>
          <w:rFonts w:eastAsia="仿宋_GB2312"/>
          <w:sz w:val="32"/>
          <w:szCs w:val="32"/>
        </w:rPr>
        <w:t>严格按照制度要求进行操作。同时，还建立了有效的沟通机制与反馈机制，确保项目信息的及时传递与问题的及时解决，进一步提高了制度执行的效率与效果。</w:t>
      </w:r>
    </w:p>
    <w:p>
      <w:pPr>
        <w:spacing w:line="600" w:lineRule="exact"/>
        <w:ind w:firstLine="640" w:firstLineChars="200"/>
        <w:rPr>
          <w:rFonts w:eastAsia="仿宋_GB2312"/>
          <w:sz w:val="32"/>
          <w:szCs w:val="32"/>
        </w:rPr>
      </w:pPr>
      <w:r>
        <w:rPr>
          <w:rFonts w:eastAsia="仿宋_GB2312"/>
          <w:sz w:val="32"/>
          <w:szCs w:val="32"/>
        </w:rPr>
        <w:t>综上所述，本项目的管理制度在执行过程中表现出了高度的有效性，既确保了项目的顺利进行，又实现了项目目标的有效达成。</w:t>
      </w:r>
    </w:p>
    <w:p>
      <w:pPr>
        <w:pStyle w:val="12"/>
        <w:numPr>
          <w:ilvl w:val="0"/>
          <w:numId w:val="3"/>
        </w:numPr>
        <w:spacing w:line="600" w:lineRule="exact"/>
        <w:ind w:firstLine="643"/>
        <w:rPr>
          <w:rFonts w:eastAsia="楷体_GB2312"/>
          <w:b/>
          <w:bCs/>
          <w:sz w:val="32"/>
          <w:szCs w:val="32"/>
        </w:rPr>
      </w:pPr>
      <w:r>
        <w:rPr>
          <w:rFonts w:eastAsia="楷体_GB2312"/>
          <w:b/>
          <w:bCs/>
          <w:sz w:val="32"/>
          <w:szCs w:val="32"/>
        </w:rPr>
        <w:t>项目产出情况</w:t>
      </w:r>
    </w:p>
    <w:p>
      <w:pPr>
        <w:spacing w:line="600" w:lineRule="exact"/>
        <w:ind w:firstLine="640" w:firstLineChars="200"/>
        <w:outlineLvl w:val="0"/>
        <w:rPr>
          <w:rFonts w:eastAsia="仿宋_GB2312"/>
          <w:sz w:val="32"/>
          <w:szCs w:val="32"/>
        </w:rPr>
      </w:pPr>
      <w:r>
        <w:rPr>
          <w:rFonts w:eastAsia="仿宋_GB2312"/>
          <w:sz w:val="32"/>
          <w:szCs w:val="32"/>
        </w:rPr>
        <w:t>项目产出类指标包括产出数量、产出质量、产出时效三方面的内容，由6个三级指标构成，权重分为40分，实际得分39.25分，得分率为98.13%。具体产出指标完成情况如下：</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1 \* GB3 </w:instrText>
      </w:r>
      <w:r>
        <w:rPr>
          <w:rFonts w:eastAsia="仿宋_GB2312"/>
          <w:sz w:val="32"/>
          <w:szCs w:val="32"/>
        </w:rPr>
        <w:fldChar w:fldCharType="separate"/>
      </w:r>
      <w:r>
        <w:rPr>
          <w:rFonts w:eastAsia="仿宋_GB2312"/>
          <w:sz w:val="32"/>
          <w:szCs w:val="32"/>
        </w:rPr>
        <w:t>①</w:t>
      </w:r>
      <w:r>
        <w:rPr>
          <w:rFonts w:eastAsia="仿宋_GB2312"/>
          <w:sz w:val="32"/>
          <w:szCs w:val="32"/>
        </w:rPr>
        <w:fldChar w:fldCharType="end"/>
      </w:r>
      <w:r>
        <w:rPr>
          <w:rFonts w:eastAsia="仿宋_GB2312"/>
          <w:sz w:val="32"/>
          <w:szCs w:val="32"/>
        </w:rPr>
        <w:t>数量指标：</w:t>
      </w:r>
    </w:p>
    <w:p>
      <w:pPr>
        <w:spacing w:line="600" w:lineRule="exact"/>
        <w:ind w:firstLine="640" w:firstLineChars="200"/>
        <w:outlineLvl w:val="0"/>
        <w:rPr>
          <w:rFonts w:eastAsia="仿宋_GB2312"/>
          <w:color w:val="FF0000"/>
          <w:sz w:val="32"/>
          <w:szCs w:val="32"/>
        </w:rPr>
      </w:pPr>
      <w:r>
        <w:rPr>
          <w:rFonts w:eastAsia="仿宋_GB2312"/>
          <w:sz w:val="32"/>
          <w:szCs w:val="32"/>
        </w:rPr>
        <w:t>指标1：完成政务信息化政策标准制定，指标值：&gt;=1项，实际完成值：1项，指标完成率100%。</w:t>
      </w:r>
    </w:p>
    <w:p>
      <w:pPr>
        <w:spacing w:line="600" w:lineRule="exact"/>
        <w:ind w:firstLine="640" w:firstLineChars="200"/>
        <w:outlineLvl w:val="0"/>
        <w:rPr>
          <w:rFonts w:eastAsia="仿宋_GB2312"/>
          <w:color w:val="FF0000"/>
          <w:sz w:val="32"/>
          <w:szCs w:val="32"/>
        </w:rPr>
      </w:pPr>
      <w:r>
        <w:rPr>
          <w:rFonts w:eastAsia="仿宋_GB2312"/>
          <w:sz w:val="32"/>
          <w:szCs w:val="32"/>
        </w:rPr>
        <w:t>指标2：编制完成数据一体化标准，指标值：&gt;=5项，实际完成值：5项，指标完成率100%。</w:t>
      </w:r>
    </w:p>
    <w:p>
      <w:pPr>
        <w:spacing w:line="600" w:lineRule="exact"/>
        <w:ind w:firstLine="640" w:firstLineChars="200"/>
        <w:outlineLvl w:val="0"/>
        <w:rPr>
          <w:rFonts w:eastAsia="仿宋_GB2312"/>
          <w:color w:val="FF0000"/>
          <w:sz w:val="32"/>
          <w:szCs w:val="32"/>
        </w:rPr>
      </w:pPr>
      <w:r>
        <w:rPr>
          <w:rFonts w:eastAsia="仿宋_GB2312"/>
          <w:sz w:val="32"/>
          <w:szCs w:val="32"/>
        </w:rPr>
        <w:t>指标3：完成公共数据授权和数据要素交易课题研究报告，指标值：&gt;=1个，实际完成值：1个，指标完成率100%。</w:t>
      </w:r>
    </w:p>
    <w:p>
      <w:pPr>
        <w:spacing w:line="600" w:lineRule="exact"/>
        <w:ind w:firstLine="640" w:firstLineChars="200"/>
        <w:outlineLvl w:val="0"/>
        <w:rPr>
          <w:rFonts w:eastAsia="仿宋_GB2312"/>
          <w:sz w:val="32"/>
          <w:szCs w:val="32"/>
        </w:rPr>
      </w:pPr>
      <w:r>
        <w:rPr>
          <w:rFonts w:eastAsia="仿宋_GB2312"/>
          <w:sz w:val="32"/>
          <w:szCs w:val="32"/>
        </w:rPr>
        <w:t>指标4：完成自治区“一网统管”各类成果，指标值：&gt;=1个，实际完成值：1个，指标完成率100%。</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2 \* GB3 </w:instrText>
      </w:r>
      <w:r>
        <w:rPr>
          <w:rFonts w:eastAsia="仿宋_GB2312"/>
          <w:sz w:val="32"/>
          <w:szCs w:val="32"/>
        </w:rPr>
        <w:fldChar w:fldCharType="separate"/>
      </w:r>
      <w:r>
        <w:rPr>
          <w:rFonts w:eastAsia="仿宋_GB2312"/>
          <w:sz w:val="32"/>
          <w:szCs w:val="32"/>
        </w:rPr>
        <w:t>②</w:t>
      </w:r>
      <w:r>
        <w:rPr>
          <w:rFonts w:eastAsia="仿宋_GB2312"/>
          <w:sz w:val="32"/>
          <w:szCs w:val="32"/>
        </w:rPr>
        <w:fldChar w:fldCharType="end"/>
      </w:r>
      <w:r>
        <w:rPr>
          <w:rFonts w:eastAsia="仿宋_GB2312"/>
          <w:sz w:val="32"/>
          <w:szCs w:val="32"/>
        </w:rPr>
        <w:t>质量指标：</w:t>
      </w:r>
    </w:p>
    <w:p>
      <w:pPr>
        <w:spacing w:line="600" w:lineRule="exact"/>
        <w:ind w:firstLine="640" w:firstLineChars="200"/>
        <w:outlineLvl w:val="0"/>
        <w:rPr>
          <w:rFonts w:eastAsia="仿宋_GB2312"/>
          <w:sz w:val="32"/>
          <w:szCs w:val="32"/>
        </w:rPr>
      </w:pPr>
      <w:r>
        <w:rPr>
          <w:rFonts w:eastAsia="仿宋_GB2312"/>
          <w:sz w:val="32"/>
          <w:szCs w:val="32"/>
        </w:rPr>
        <w:t>指标1：完成各项工作质量达标率，指标值：=100%，实际完成值：100%，指标完成率100%。</w:t>
      </w:r>
    </w:p>
    <w:p>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3 \* GB3 </w:instrText>
      </w:r>
      <w:r>
        <w:rPr>
          <w:rFonts w:eastAsia="仿宋_GB2312"/>
          <w:sz w:val="32"/>
          <w:szCs w:val="32"/>
        </w:rPr>
        <w:fldChar w:fldCharType="separate"/>
      </w:r>
      <w:r>
        <w:rPr>
          <w:rFonts w:eastAsia="仿宋_GB2312"/>
          <w:sz w:val="32"/>
          <w:szCs w:val="32"/>
        </w:rPr>
        <w:t>③</w:t>
      </w:r>
      <w:r>
        <w:rPr>
          <w:rFonts w:eastAsia="仿宋_GB2312"/>
          <w:sz w:val="32"/>
          <w:szCs w:val="32"/>
        </w:rPr>
        <w:fldChar w:fldCharType="end"/>
      </w:r>
      <w:r>
        <w:rPr>
          <w:rFonts w:eastAsia="仿宋_GB2312"/>
          <w:sz w:val="32"/>
          <w:szCs w:val="32"/>
        </w:rPr>
        <w:t>时效指标：</w:t>
      </w:r>
    </w:p>
    <w:p>
      <w:pPr>
        <w:spacing w:line="600" w:lineRule="exact"/>
        <w:ind w:firstLine="640" w:firstLineChars="200"/>
        <w:outlineLvl w:val="0"/>
        <w:rPr>
          <w:rFonts w:eastAsia="仿宋_GB2312"/>
          <w:sz w:val="32"/>
          <w:szCs w:val="32"/>
        </w:rPr>
      </w:pPr>
      <w:r>
        <w:rPr>
          <w:rFonts w:eastAsia="仿宋_GB2312"/>
          <w:sz w:val="32"/>
          <w:szCs w:val="32"/>
        </w:rPr>
        <w:t>指标1：项目按期完成率，指标值：&gt;=90%，实际完成值：100%，指标完成率111.11%。</w:t>
      </w:r>
    </w:p>
    <w:p>
      <w:pPr>
        <w:spacing w:line="600" w:lineRule="exact"/>
        <w:ind w:firstLine="640" w:firstLineChars="200"/>
        <w:outlineLvl w:val="0"/>
        <w:rPr>
          <w:rFonts w:eastAsia="仿宋_GB2312"/>
          <w:sz w:val="32"/>
          <w:szCs w:val="32"/>
        </w:rPr>
      </w:pPr>
      <w:r>
        <w:rPr>
          <w:rFonts w:eastAsia="仿宋_GB2312"/>
          <w:sz w:val="32"/>
          <w:szCs w:val="32"/>
        </w:rPr>
        <w:t>④成本指标：</w:t>
      </w:r>
    </w:p>
    <w:p>
      <w:pPr>
        <w:spacing w:line="600" w:lineRule="exact"/>
        <w:ind w:firstLine="640" w:firstLineChars="200"/>
        <w:outlineLvl w:val="0"/>
        <w:rPr>
          <w:rFonts w:eastAsia="仿宋_GB2312"/>
          <w:sz w:val="32"/>
          <w:szCs w:val="32"/>
        </w:rPr>
      </w:pPr>
      <w:r>
        <w:rPr>
          <w:rFonts w:eastAsia="仿宋_GB2312"/>
          <w:sz w:val="32"/>
          <w:szCs w:val="32"/>
        </w:rPr>
        <w:t>指标1：政务信息化项目成本，指标值：&lt;=34万元，实际完成值：31.8万元，指标完成率100%。</w:t>
      </w:r>
    </w:p>
    <w:p>
      <w:pPr>
        <w:spacing w:line="600" w:lineRule="exact"/>
        <w:ind w:firstLine="640" w:firstLineChars="200"/>
        <w:outlineLvl w:val="0"/>
        <w:rPr>
          <w:rFonts w:eastAsia="仿宋_GB2312"/>
          <w:sz w:val="32"/>
          <w:szCs w:val="32"/>
        </w:rPr>
      </w:pPr>
      <w:r>
        <w:rPr>
          <w:rFonts w:eastAsia="仿宋_GB2312"/>
          <w:sz w:val="32"/>
          <w:szCs w:val="32"/>
        </w:rPr>
        <w:t>指标2：数据一体化编制成本，指标值：&lt;=42万元，实际完成值：32.85万元，指标完成率100%。</w:t>
      </w:r>
    </w:p>
    <w:p>
      <w:pPr>
        <w:spacing w:line="600" w:lineRule="exact"/>
        <w:ind w:firstLine="640" w:firstLineChars="200"/>
        <w:outlineLvl w:val="0"/>
        <w:rPr>
          <w:rFonts w:eastAsia="仿宋_GB2312"/>
          <w:sz w:val="32"/>
          <w:szCs w:val="32"/>
        </w:rPr>
      </w:pPr>
      <w:r>
        <w:rPr>
          <w:rFonts w:eastAsia="仿宋_GB2312"/>
          <w:sz w:val="32"/>
          <w:szCs w:val="32"/>
        </w:rPr>
        <w:t>指标3：公共数据授权和数据要素交易课题研究项目，指标值：&lt;=40万元，实际完成值：39.80万元，指标完成率100%。</w:t>
      </w:r>
    </w:p>
    <w:p>
      <w:pPr>
        <w:spacing w:line="600" w:lineRule="exact"/>
        <w:ind w:firstLine="640" w:firstLineChars="200"/>
        <w:outlineLvl w:val="0"/>
        <w:rPr>
          <w:rFonts w:eastAsia="仿宋_GB2312"/>
          <w:sz w:val="32"/>
          <w:szCs w:val="32"/>
        </w:rPr>
      </w:pPr>
      <w:r>
        <w:rPr>
          <w:rFonts w:eastAsia="仿宋_GB2312"/>
          <w:sz w:val="32"/>
          <w:szCs w:val="32"/>
        </w:rPr>
        <w:t>指标4：“一网统管”规划服务项目成本，指标值：&lt;=120万元，实际完成值：118.50万元，指标完成率100%。</w:t>
      </w:r>
    </w:p>
    <w:p>
      <w:pPr>
        <w:spacing w:line="600" w:lineRule="exact"/>
        <w:ind w:firstLine="643" w:firstLineChars="200"/>
        <w:outlineLvl w:val="0"/>
        <w:rPr>
          <w:rFonts w:eastAsia="楷体_GB2312"/>
          <w:b/>
          <w:bCs/>
          <w:sz w:val="32"/>
          <w:szCs w:val="32"/>
        </w:rPr>
      </w:pPr>
      <w:r>
        <w:rPr>
          <w:rFonts w:eastAsia="楷体_GB2312"/>
          <w:b/>
          <w:bCs/>
          <w:sz w:val="32"/>
          <w:szCs w:val="32"/>
        </w:rPr>
        <w:t>（四）项目效益情况</w:t>
      </w:r>
    </w:p>
    <w:p>
      <w:pPr>
        <w:spacing w:line="600" w:lineRule="exact"/>
        <w:ind w:firstLine="640" w:firstLineChars="200"/>
        <w:outlineLvl w:val="0"/>
        <w:rPr>
          <w:rFonts w:eastAsia="仿宋_GB2312"/>
          <w:sz w:val="32"/>
          <w:szCs w:val="32"/>
        </w:rPr>
      </w:pPr>
      <w:r>
        <w:rPr>
          <w:rFonts w:eastAsia="仿宋_GB2312"/>
          <w:sz w:val="32"/>
          <w:szCs w:val="32"/>
        </w:rPr>
        <w:t>项目效益类指标包括项目实施效益和满意度两方面的内容，由2个三级指标构成，权重分为20分，实际得分20分，得分率为100%。具体效益指标及满意度指标完成情况如下：</w:t>
      </w:r>
    </w:p>
    <w:p>
      <w:pPr>
        <w:spacing w:line="600" w:lineRule="exact"/>
        <w:ind w:firstLine="643" w:firstLineChars="200"/>
        <w:outlineLvl w:val="0"/>
        <w:rPr>
          <w:rFonts w:eastAsia="仿宋_GB2312"/>
          <w:b/>
          <w:bCs/>
          <w:color w:val="FF0000"/>
          <w:sz w:val="32"/>
          <w:szCs w:val="32"/>
        </w:rPr>
      </w:pPr>
      <w:r>
        <w:rPr>
          <w:rFonts w:eastAsia="仿宋_GB2312"/>
          <w:b/>
          <w:bCs/>
          <w:sz w:val="32"/>
          <w:szCs w:val="32"/>
        </w:rPr>
        <w:t>1.实施效益</w:t>
      </w:r>
    </w:p>
    <w:p>
      <w:pPr>
        <w:spacing w:line="600" w:lineRule="exact"/>
        <w:ind w:firstLine="640" w:firstLineChars="200"/>
        <w:outlineLvl w:val="0"/>
        <w:rPr>
          <w:rFonts w:eastAsia="仿宋_GB2312"/>
          <w:sz w:val="32"/>
          <w:szCs w:val="32"/>
        </w:rPr>
      </w:pPr>
      <w:r>
        <w:rPr>
          <w:rFonts w:eastAsia="仿宋_GB2312"/>
          <w:sz w:val="32"/>
          <w:szCs w:val="32"/>
        </w:rPr>
        <w:t>社会效益指标：</w:t>
      </w:r>
    </w:p>
    <w:p>
      <w:pPr>
        <w:spacing w:line="600" w:lineRule="exact"/>
        <w:ind w:firstLine="640" w:firstLineChars="200"/>
        <w:outlineLvl w:val="0"/>
        <w:rPr>
          <w:rFonts w:eastAsia="仿宋_GB2312"/>
          <w:sz w:val="32"/>
          <w:szCs w:val="32"/>
        </w:rPr>
      </w:pPr>
      <w:r>
        <w:rPr>
          <w:rFonts w:eastAsia="仿宋_GB2312"/>
          <w:sz w:val="32"/>
          <w:szCs w:val="32"/>
        </w:rPr>
        <w:t>指标1：有序推动全区数字政府建设，指标值：有序推动，实际完成值：有序推动，指标完成率100%。</w:t>
      </w:r>
    </w:p>
    <w:p>
      <w:pPr>
        <w:spacing w:line="600" w:lineRule="exact"/>
        <w:ind w:firstLine="643" w:firstLineChars="200"/>
        <w:outlineLvl w:val="0"/>
        <w:rPr>
          <w:rFonts w:eastAsia="仿宋_GB2312"/>
          <w:b/>
          <w:bCs/>
          <w:sz w:val="32"/>
          <w:szCs w:val="32"/>
        </w:rPr>
      </w:pPr>
      <w:r>
        <w:rPr>
          <w:rFonts w:eastAsia="仿宋_GB2312"/>
          <w:b/>
          <w:bCs/>
          <w:sz w:val="32"/>
          <w:szCs w:val="32"/>
        </w:rPr>
        <w:t>2.满意度</w:t>
      </w:r>
    </w:p>
    <w:p>
      <w:pPr>
        <w:spacing w:line="600" w:lineRule="exact"/>
        <w:ind w:firstLine="640" w:firstLineChars="200"/>
        <w:outlineLvl w:val="0"/>
        <w:rPr>
          <w:rFonts w:eastAsia="仿宋_GB2312"/>
          <w:sz w:val="32"/>
          <w:szCs w:val="32"/>
        </w:rPr>
      </w:pPr>
      <w:r>
        <w:rPr>
          <w:rFonts w:eastAsia="仿宋_GB2312"/>
          <w:sz w:val="32"/>
          <w:szCs w:val="32"/>
        </w:rPr>
        <w:t>指标1：使用部门满意度，指标值：&gt;=90%，实际完成值：90%，指标完成率100%。</w:t>
      </w:r>
    </w:p>
    <w:p>
      <w:pPr>
        <w:spacing w:line="600" w:lineRule="exact"/>
        <w:ind w:firstLine="640" w:firstLineChars="200"/>
        <w:rPr>
          <w:rFonts w:eastAsia="黑体"/>
          <w:sz w:val="32"/>
          <w:szCs w:val="32"/>
          <w:lang w:eastAsia="zh-Hans"/>
        </w:rPr>
      </w:pPr>
      <w:r>
        <w:rPr>
          <w:rFonts w:eastAsia="黑体"/>
          <w:sz w:val="32"/>
          <w:szCs w:val="32"/>
        </w:rPr>
        <w:t>五、</w:t>
      </w:r>
      <w:r>
        <w:rPr>
          <w:rFonts w:eastAsia="黑体"/>
          <w:sz w:val="32"/>
          <w:szCs w:val="32"/>
          <w:lang w:eastAsia="zh-Hans"/>
        </w:rPr>
        <w:t>预算执行进度与绩效指标总体完成率偏差</w:t>
      </w:r>
    </w:p>
    <w:p>
      <w:pPr>
        <w:pStyle w:val="24"/>
        <w:spacing w:line="600" w:lineRule="exact"/>
        <w:ind w:firstLine="640"/>
        <w:rPr>
          <w:rFonts w:eastAsia="仿宋_GB2312"/>
          <w:sz w:val="32"/>
          <w:szCs w:val="32"/>
        </w:rPr>
      </w:pPr>
      <w:r>
        <w:rPr>
          <w:rFonts w:eastAsia="仿宋_GB2312"/>
          <w:sz w:val="32"/>
          <w:szCs w:val="32"/>
        </w:rPr>
        <w:t>数字化发展专项业务经费项目年初预算375万元，全年预算375万元，实际支出358.86万元，预算执行率为95.70%，项目绩效指标总体完成率为100.93%，</w:t>
      </w:r>
      <w:r>
        <w:rPr>
          <w:rFonts w:eastAsia="仿宋_GB2312"/>
          <w:sz w:val="32"/>
          <w:szCs w:val="32"/>
          <w:lang w:eastAsia="zh-Hans"/>
        </w:rPr>
        <w:t>总体</w:t>
      </w:r>
      <w:r>
        <w:rPr>
          <w:rFonts w:eastAsia="仿宋_GB2312"/>
          <w:sz w:val="32"/>
          <w:szCs w:val="32"/>
        </w:rPr>
        <w:t>偏差率为0.93%。</w:t>
      </w:r>
    </w:p>
    <w:p>
      <w:pPr>
        <w:spacing w:line="600" w:lineRule="exact"/>
        <w:ind w:firstLine="640" w:firstLineChars="200"/>
        <w:rPr>
          <w:rStyle w:val="23"/>
          <w:rFonts w:ascii="Times New Roman" w:hAnsi="Times New Roman" w:cs="Times New Roman"/>
          <w:color w:val="auto"/>
        </w:rPr>
      </w:pPr>
      <w:r>
        <w:rPr>
          <w:rFonts w:eastAsia="黑体"/>
          <w:sz w:val="32"/>
          <w:szCs w:val="32"/>
        </w:rPr>
        <w:t>六</w:t>
      </w:r>
      <w:r>
        <w:rPr>
          <w:rFonts w:eastAsia="仿宋_GB2312"/>
          <w:b/>
          <w:bCs/>
          <w:sz w:val="32"/>
          <w:szCs w:val="32"/>
        </w:rPr>
        <w:t>.</w:t>
      </w:r>
      <w:r>
        <w:rPr>
          <w:rFonts w:eastAsia="黑体"/>
          <w:sz w:val="32"/>
          <w:szCs w:val="32"/>
        </w:rPr>
        <w:t>主要经验及做法、存在的问题及原因分析</w:t>
      </w:r>
    </w:p>
    <w:p>
      <w:pPr>
        <w:spacing w:line="600" w:lineRule="exact"/>
        <w:ind w:firstLine="627" w:firstLineChars="200"/>
        <w:rPr>
          <w:rFonts w:eastAsia="楷体"/>
          <w:b/>
          <w:spacing w:val="-4"/>
          <w:sz w:val="32"/>
          <w:szCs w:val="32"/>
        </w:rPr>
      </w:pPr>
      <w:r>
        <w:rPr>
          <w:rFonts w:eastAsia="楷体"/>
          <w:b/>
          <w:spacing w:val="-4"/>
          <w:sz w:val="32"/>
          <w:szCs w:val="32"/>
        </w:rPr>
        <w:t>（一）主要经验及做法</w:t>
      </w:r>
    </w:p>
    <w:p>
      <w:pPr>
        <w:pStyle w:val="10"/>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为保障项目顺利推进，提前精心规划项目方案，并对所拟计划进行反复审核校验。在项目执行阶段，严格遵循项目管理规范操作，强化定期监督检查机制。在资金使用环节，严格把控审核流程，确保资金按既定范围规范使用。项目结束后，积极开展受益群众满意度调查，并做好项目后续防范管理工作。</w:t>
      </w:r>
    </w:p>
    <w:p>
      <w:pPr>
        <w:pStyle w:val="10"/>
        <w:spacing w:before="0" w:after="0" w:line="60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严格遵循“先行动、后验收、再拨款”的</w:t>
      </w:r>
      <w:r>
        <w:rPr>
          <w:rFonts w:hint="eastAsia" w:ascii="Times New Roman" w:hAnsi="Times New Roman" w:eastAsia="仿宋_GB2312"/>
          <w:b w:val="0"/>
          <w:bCs w:val="0"/>
          <w:kern w:val="2"/>
        </w:rPr>
        <w:t>原</w:t>
      </w:r>
      <w:r>
        <w:rPr>
          <w:rFonts w:ascii="Times New Roman" w:hAnsi="Times New Roman" w:eastAsia="仿宋_GB2312"/>
          <w:b w:val="0"/>
          <w:bCs w:val="0"/>
          <w:kern w:val="2"/>
        </w:rPr>
        <w:t>则，有效遏制了资金被挤占、挪用的不良现象，并确保了跟踪检查的全面落实。财政、纪检、监察等关键职能部门</w:t>
      </w:r>
      <w:r>
        <w:rPr>
          <w:rFonts w:hint="eastAsia" w:ascii="Times New Roman" w:hAnsi="Times New Roman" w:eastAsia="仿宋_GB2312"/>
          <w:b w:val="0"/>
          <w:bCs w:val="0"/>
          <w:kern w:val="2"/>
        </w:rPr>
        <w:t>全面参与</w:t>
      </w:r>
      <w:r>
        <w:rPr>
          <w:rFonts w:ascii="Times New Roman" w:hAnsi="Times New Roman" w:eastAsia="仿宋_GB2312"/>
          <w:b w:val="0"/>
          <w:bCs w:val="0"/>
          <w:kern w:val="2"/>
        </w:rPr>
        <w:t>，对专项资金实施了从筹备、执行到收尾的全流程监管。在监督机制上，创新性地实施了监督前移策略，构建了事前审核、事中监控与事后审计相结合的立体监督体系，实现了多环节、全链条的监督管理网络，力求问题早发现、早解决。</w:t>
      </w:r>
    </w:p>
    <w:p>
      <w:pPr>
        <w:keepNext/>
        <w:keepLines/>
        <w:numPr>
          <w:ilvl w:val="0"/>
          <w:numId w:val="4"/>
        </w:numPr>
        <w:spacing w:line="600" w:lineRule="exact"/>
        <w:ind w:firstLine="643"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eastAsia="仿宋_GB2312"/>
          <w:sz w:val="32"/>
          <w:szCs w:val="32"/>
        </w:rPr>
      </w:pPr>
      <w:r>
        <w:rPr>
          <w:rFonts w:eastAsia="仿宋_GB2312"/>
          <w:sz w:val="32"/>
          <w:szCs w:val="32"/>
        </w:rPr>
        <w:t>1.对绩效监控工作重要性认识不足，需进一步加强绩效管理方面专业知识，特别是目标设置、绩效监控及绩效自评方面的内容。</w:t>
      </w:r>
    </w:p>
    <w:p>
      <w:pPr>
        <w:spacing w:line="600" w:lineRule="exact"/>
        <w:ind w:firstLine="640" w:firstLineChars="200"/>
        <w:outlineLvl w:val="0"/>
        <w:rPr>
          <w:rFonts w:eastAsia="仿宋_GB2312"/>
          <w:sz w:val="32"/>
          <w:szCs w:val="32"/>
        </w:rPr>
      </w:pPr>
      <w:r>
        <w:rPr>
          <w:rFonts w:eastAsia="仿宋_GB2312"/>
          <w:sz w:val="32"/>
          <w:szCs w:val="32"/>
        </w:rPr>
        <w:t>2.部分绩效目标设置缺乏科学性，绩效指标值设置与实际完成值偏差较大，需进一步加强绩效目标填报的科学性，进一步优化完善指标设置。</w:t>
      </w:r>
    </w:p>
    <w:p>
      <w:pPr>
        <w:spacing w:line="600" w:lineRule="exact"/>
        <w:ind w:firstLine="640" w:firstLineChars="200"/>
        <w:outlineLvl w:val="0"/>
        <w:rPr>
          <w:rFonts w:eastAsia="仿宋_GB2312"/>
          <w:sz w:val="32"/>
          <w:szCs w:val="32"/>
        </w:rPr>
      </w:pPr>
      <w:r>
        <w:rPr>
          <w:rFonts w:eastAsia="仿宋_GB2312"/>
          <w:sz w:val="32"/>
          <w:szCs w:val="32"/>
        </w:rPr>
        <w:t>3. 针对阶段性绩效监控工作缺乏主动性。部分项目处室对预算绩效工作认识不足，片面的认为绩效监控是财务部门的责任，对绩效监控和绩效自评工作存在懈怠思想，影响绩效监控及评价质量。</w:t>
      </w:r>
    </w:p>
    <w:p>
      <w:pPr>
        <w:spacing w:line="600" w:lineRule="exact"/>
        <w:ind w:firstLine="640" w:firstLineChars="200"/>
        <w:rPr>
          <w:rFonts w:eastAsia="黑体"/>
          <w:sz w:val="32"/>
          <w:szCs w:val="32"/>
        </w:rPr>
      </w:pPr>
      <w:r>
        <w:rPr>
          <w:rFonts w:eastAsia="黑体"/>
          <w:sz w:val="32"/>
          <w:szCs w:val="32"/>
        </w:rPr>
        <w:t>七.有关建议</w:t>
      </w:r>
    </w:p>
    <w:p>
      <w:pPr>
        <w:spacing w:line="600" w:lineRule="exact"/>
        <w:ind w:firstLine="640" w:firstLineChars="200"/>
        <w:outlineLvl w:val="0"/>
        <w:rPr>
          <w:rFonts w:eastAsia="仿宋_GB2312"/>
          <w:sz w:val="32"/>
          <w:szCs w:val="32"/>
        </w:rPr>
      </w:pPr>
      <w:r>
        <w:rPr>
          <w:rFonts w:hint="eastAsia" w:eastAsia="仿宋_GB2312"/>
          <w:sz w:val="32"/>
          <w:szCs w:val="32"/>
        </w:rPr>
        <w:t>（一）</w:t>
      </w:r>
      <w:r>
        <w:rPr>
          <w:rFonts w:eastAsia="仿宋_GB2312"/>
          <w:sz w:val="32"/>
          <w:szCs w:val="32"/>
        </w:rPr>
        <w:t xml:space="preserve">提升绩效管理意识。提高对预算绩效管理工作重要性的认识，总结经验查找问题，抓紧研究制定更全面更完善的绩效评价管理办法。建立绩效工作考核制度，加大全局对全面实施预算绩效管理和绩效管理工作的重视程度。  </w:t>
      </w:r>
    </w:p>
    <w:p>
      <w:pPr>
        <w:spacing w:line="600" w:lineRule="exact"/>
        <w:ind w:firstLine="640" w:firstLineChars="200"/>
        <w:outlineLvl w:val="0"/>
        <w:rPr>
          <w:rFonts w:eastAsia="仿宋_GB2312"/>
          <w:sz w:val="32"/>
          <w:szCs w:val="32"/>
        </w:rPr>
      </w:pPr>
      <w:r>
        <w:rPr>
          <w:rFonts w:hint="eastAsia" w:eastAsia="仿宋_GB2312"/>
          <w:sz w:val="32"/>
          <w:szCs w:val="32"/>
        </w:rPr>
        <w:t>（二）</w:t>
      </w:r>
      <w:r>
        <w:rPr>
          <w:rFonts w:eastAsia="仿宋_GB2312"/>
          <w:sz w:val="32"/>
          <w:szCs w:val="32"/>
        </w:rPr>
        <w:t>加强绩效管理培训。认真学习自治区关于预算绩效管理工作的相关制度及文件，并适时邀请经验丰富的专家开展预算绩效业务培训，特别是在绩效目标科学设定、预算执行绩效监控、绩效自评等方面，进一步夯实预算绩效业务基础，进一步提高项目实施人员预算绩效管理水平。</w:t>
      </w:r>
    </w:p>
    <w:p>
      <w:pPr>
        <w:spacing w:line="600" w:lineRule="exact"/>
        <w:ind w:firstLine="640" w:firstLineChars="200"/>
        <w:outlineLvl w:val="0"/>
        <w:rPr>
          <w:rFonts w:eastAsia="仿宋_GB2312"/>
          <w:sz w:val="32"/>
          <w:szCs w:val="32"/>
        </w:rPr>
      </w:pPr>
      <w:r>
        <w:rPr>
          <w:rFonts w:hint="eastAsia" w:eastAsia="仿宋_GB2312"/>
          <w:sz w:val="32"/>
          <w:szCs w:val="32"/>
        </w:rPr>
        <w:t>（三）</w:t>
      </w:r>
      <w:r>
        <w:rPr>
          <w:rFonts w:eastAsia="仿宋_GB2312"/>
          <w:sz w:val="32"/>
          <w:szCs w:val="32"/>
        </w:rPr>
        <w:t>科学设置绩效目标。提高绩效目标设置的科学性和合理性，严格按照“谁申请资金，谁编制目标”的原则，把握好绩效目标能清晰反映预算资金的预期产出和效果，并以相应的绩效指标予以细化、量化描述，选取相关性强的量化指标，符合实际工作情况。</w:t>
      </w:r>
    </w:p>
    <w:p>
      <w:pPr>
        <w:spacing w:line="600" w:lineRule="exact"/>
        <w:ind w:firstLine="640" w:firstLineChars="200"/>
        <w:outlineLvl w:val="0"/>
        <w:rPr>
          <w:rFonts w:eastAsia="仿宋_GB2312"/>
          <w:sz w:val="32"/>
          <w:szCs w:val="32"/>
        </w:rPr>
      </w:pPr>
      <w:r>
        <w:rPr>
          <w:rFonts w:hint="eastAsia" w:eastAsia="仿宋_GB2312"/>
          <w:sz w:val="32"/>
          <w:szCs w:val="32"/>
        </w:rPr>
        <w:t>（四）</w:t>
      </w:r>
      <w:r>
        <w:rPr>
          <w:rFonts w:eastAsia="仿宋_GB2312"/>
          <w:sz w:val="32"/>
          <w:szCs w:val="32"/>
        </w:rPr>
        <w:t xml:space="preserve">加强预算执行管理。在预算执行过程中，牢固树立“花钱必问效，无效必问责”的预算绩效管理理念，制定资金支付计划，并根据项目执行情况，定期督促项目执行进度和支付进度，确保在5月、8月绩效监控节点完成支付进度。 </w:t>
      </w:r>
    </w:p>
    <w:p>
      <w:pPr>
        <w:spacing w:line="600" w:lineRule="exact"/>
        <w:ind w:firstLine="640" w:firstLineChars="200"/>
        <w:rPr>
          <w:rFonts w:eastAsia="黑体"/>
          <w:sz w:val="32"/>
          <w:szCs w:val="32"/>
        </w:rPr>
      </w:pPr>
      <w:r>
        <w:rPr>
          <w:rFonts w:eastAsia="黑体"/>
          <w:sz w:val="32"/>
          <w:szCs w:val="32"/>
        </w:rPr>
        <w:t>八</w:t>
      </w:r>
      <w:r>
        <w:rPr>
          <w:rFonts w:eastAsia="仿宋_GB2312"/>
          <w:b/>
          <w:bCs/>
          <w:sz w:val="32"/>
          <w:szCs w:val="32"/>
        </w:rPr>
        <w:t>.</w:t>
      </w:r>
      <w:r>
        <w:rPr>
          <w:rFonts w:eastAsia="黑体"/>
          <w:sz w:val="32"/>
          <w:szCs w:val="32"/>
        </w:rPr>
        <w:t>其他需要说</w:t>
      </w:r>
      <w:bookmarkStart w:id="2" w:name="page8"/>
      <w:bookmarkEnd w:id="2"/>
      <w:r>
        <w:rPr>
          <w:rFonts w:eastAsia="黑体"/>
          <w:sz w:val="32"/>
          <w:szCs w:val="32"/>
        </w:rPr>
        <w:t>明的问题</w:t>
      </w:r>
    </w:p>
    <w:p>
      <w:pPr>
        <w:pStyle w:val="13"/>
        <w:spacing w:after="0" w:line="600" w:lineRule="exact"/>
        <w:ind w:left="0" w:leftChars="0" w:firstLine="640"/>
        <w:rPr>
          <w:rFonts w:ascii="Times New Roman" w:hAnsi="Times New Roman" w:eastAsia="仿宋_GB2312"/>
          <w:sz w:val="32"/>
          <w:szCs w:val="32"/>
          <w:lang w:eastAsia="zh-Hans"/>
        </w:rPr>
      </w:pPr>
      <w:r>
        <w:rPr>
          <w:rFonts w:ascii="Times New Roman" w:hAnsi="Times New Roman" w:eastAsia="仿宋_GB2312"/>
          <w:sz w:val="32"/>
          <w:szCs w:val="32"/>
          <w:lang w:eastAsia="zh-Hans"/>
        </w:rPr>
        <w:t>本项目无其他需说明的问题。</w:t>
      </w:r>
    </w:p>
    <w:p>
      <w:pPr>
        <w:pStyle w:val="13"/>
        <w:spacing w:after="0" w:line="560" w:lineRule="exact"/>
        <w:ind w:left="0" w:leftChars="0" w:firstLine="0" w:firstLineChars="0"/>
        <w:rPr>
          <w:rFonts w:ascii="Times New Roman" w:hAnsi="Times New Roman" w:eastAsia="仿宋_GB2312"/>
          <w:sz w:val="32"/>
          <w:szCs w:val="32"/>
        </w:rPr>
      </w:pPr>
    </w:p>
    <w:p>
      <w:pPr>
        <w:spacing w:line="600" w:lineRule="exact"/>
        <w:rPr>
          <w:rFonts w:eastAsia="黑体"/>
          <w:sz w:val="32"/>
          <w:szCs w:val="32"/>
        </w:rPr>
        <w:sectPr>
          <w:footerReference r:id="rId3" w:type="default"/>
          <w:pgSz w:w="11906" w:h="16838"/>
          <w:pgMar w:top="1440" w:right="1558" w:bottom="1440" w:left="1800" w:header="851" w:footer="992" w:gutter="0"/>
          <w:pgNumType w:fmt="numberInDash" w:start="1"/>
          <w:cols w:space="720" w:num="1"/>
          <w:docGrid w:type="lines" w:linePitch="312" w:charSpace="0"/>
        </w:sectPr>
      </w:pPr>
    </w:p>
    <w:p>
      <w:pPr>
        <w:spacing w:line="600" w:lineRule="exact"/>
        <w:rPr>
          <w:rFonts w:eastAsia="黑体"/>
          <w:sz w:val="32"/>
          <w:szCs w:val="32"/>
        </w:rPr>
      </w:pPr>
      <w:r>
        <w:rPr>
          <w:rFonts w:eastAsia="黑体"/>
          <w:sz w:val="32"/>
          <w:szCs w:val="32"/>
        </w:rPr>
        <w:t>附件1</w:t>
      </w:r>
    </w:p>
    <w:p>
      <w:pPr>
        <w:pStyle w:val="24"/>
        <w:ind w:firstLine="562"/>
        <w:jc w:val="center"/>
        <w:rPr>
          <w:rFonts w:eastAsia="仿宋_GB2312"/>
          <w:sz w:val="28"/>
          <w:szCs w:val="40"/>
        </w:rPr>
      </w:pPr>
      <w:bookmarkStart w:id="3" w:name="_Toc30064_WPSOffice_Level1"/>
      <w:bookmarkStart w:id="4" w:name="_Toc26499_WPSOffice_Level2"/>
      <w:r>
        <w:rPr>
          <w:rFonts w:eastAsia="仿宋_GB2312"/>
          <w:b/>
          <w:bCs/>
          <w:sz w:val="28"/>
          <w:szCs w:val="40"/>
        </w:rPr>
        <w:t>数字化发展专项</w:t>
      </w:r>
      <w:r>
        <w:rPr>
          <w:rFonts w:hint="eastAsia" w:eastAsia="仿宋_GB2312"/>
          <w:b/>
          <w:bCs/>
          <w:sz w:val="28"/>
          <w:szCs w:val="40"/>
        </w:rPr>
        <w:t>业务</w:t>
      </w:r>
      <w:r>
        <w:rPr>
          <w:rFonts w:eastAsia="仿宋_GB2312"/>
          <w:b/>
          <w:bCs/>
          <w:sz w:val="28"/>
          <w:szCs w:val="40"/>
        </w:rPr>
        <w:t>经费项目绩效评价指标体系及综合评分表</w:t>
      </w:r>
      <w:bookmarkEnd w:id="3"/>
      <w:bookmarkEnd w:id="4"/>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一级指标</w:t>
            </w:r>
          </w:p>
        </w:tc>
        <w:tc>
          <w:tcPr>
            <w:tcW w:w="394"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二级指标</w:t>
            </w:r>
          </w:p>
        </w:tc>
        <w:tc>
          <w:tcPr>
            <w:tcW w:w="422"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三级指标</w:t>
            </w:r>
          </w:p>
        </w:tc>
        <w:tc>
          <w:tcPr>
            <w:tcW w:w="680"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指标解释</w:t>
            </w:r>
          </w:p>
        </w:tc>
        <w:tc>
          <w:tcPr>
            <w:tcW w:w="2055"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指标说明</w:t>
            </w:r>
          </w:p>
        </w:tc>
        <w:tc>
          <w:tcPr>
            <w:tcW w:w="512"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权重</w:t>
            </w:r>
          </w:p>
        </w:tc>
        <w:tc>
          <w:tcPr>
            <w:tcW w:w="538"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92" w:hRule="atLeast"/>
          <w:jc w:val="center"/>
        </w:trPr>
        <w:tc>
          <w:tcPr>
            <w:tcW w:w="396" w:type="pct"/>
            <w:vMerge w:val="restart"/>
            <w:shd w:val="clear" w:color="auto" w:fill="FFFFFF"/>
            <w:noWrap w:val="0"/>
            <w:vAlign w:val="center"/>
          </w:tcPr>
          <w:p>
            <w:pPr>
              <w:widowControl/>
              <w:spacing w:line="0" w:lineRule="atLeast"/>
              <w:rPr>
                <w:rFonts w:eastAsia="仿宋_GB2312"/>
                <w:color w:val="000000"/>
                <w:kern w:val="0"/>
                <w:sz w:val="18"/>
                <w:szCs w:val="18"/>
              </w:rPr>
            </w:pPr>
          </w:p>
          <w:p>
            <w:pPr>
              <w:widowControl/>
              <w:spacing w:line="0" w:lineRule="atLeast"/>
              <w:rPr>
                <w:rFonts w:eastAsia="仿宋_GB2312"/>
                <w:color w:val="000000"/>
                <w:kern w:val="0"/>
                <w:sz w:val="18"/>
                <w:szCs w:val="18"/>
              </w:rPr>
            </w:pPr>
          </w:p>
          <w:p>
            <w:pPr>
              <w:widowControl/>
              <w:spacing w:line="0" w:lineRule="atLeast"/>
              <w:rPr>
                <w:rFonts w:eastAsia="仿宋_GB2312"/>
                <w:color w:val="000000"/>
                <w:kern w:val="0"/>
                <w:sz w:val="18"/>
                <w:szCs w:val="18"/>
              </w:rPr>
            </w:pPr>
          </w:p>
          <w:p>
            <w:pPr>
              <w:widowControl/>
              <w:spacing w:line="0" w:lineRule="atLeast"/>
              <w:rPr>
                <w:rFonts w:eastAsia="仿宋_GB2312"/>
                <w:color w:val="000000"/>
                <w:kern w:val="0"/>
                <w:sz w:val="18"/>
                <w:szCs w:val="18"/>
              </w:rPr>
            </w:pPr>
          </w:p>
          <w:p>
            <w:pPr>
              <w:widowControl/>
              <w:spacing w:line="0" w:lineRule="atLeast"/>
              <w:rPr>
                <w:rFonts w:eastAsia="仿宋_GB2312"/>
                <w:color w:val="000000"/>
                <w:kern w:val="0"/>
                <w:sz w:val="18"/>
                <w:szCs w:val="18"/>
              </w:rPr>
            </w:pPr>
          </w:p>
          <w:p>
            <w:pPr>
              <w:widowControl/>
              <w:spacing w:line="0" w:lineRule="atLeast"/>
              <w:rPr>
                <w:rFonts w:eastAsia="仿宋_GB2312"/>
                <w:color w:val="000000"/>
                <w:kern w:val="0"/>
                <w:sz w:val="18"/>
                <w:szCs w:val="18"/>
              </w:rPr>
            </w:pPr>
          </w:p>
          <w:p>
            <w:pPr>
              <w:widowControl/>
              <w:spacing w:line="0" w:lineRule="atLeast"/>
              <w:rPr>
                <w:rFonts w:eastAsia="仿宋_GB2312"/>
                <w:color w:val="000000"/>
                <w:kern w:val="0"/>
                <w:sz w:val="18"/>
                <w:szCs w:val="18"/>
              </w:rPr>
            </w:pPr>
            <w:r>
              <w:rPr>
                <w:rFonts w:eastAsia="仿宋_GB2312"/>
                <w:color w:val="000000"/>
                <w:kern w:val="0"/>
                <w:sz w:val="18"/>
                <w:szCs w:val="18"/>
              </w:rPr>
              <w:t>决策　</w:t>
            </w:r>
          </w:p>
        </w:tc>
        <w:tc>
          <w:tcPr>
            <w:tcW w:w="394" w:type="pct"/>
            <w:vMerge w:val="restar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项目立项　</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立项依据</w:t>
            </w:r>
          </w:p>
          <w:p>
            <w:pPr>
              <w:widowControl/>
              <w:spacing w:line="0" w:lineRule="atLeast"/>
              <w:rPr>
                <w:rFonts w:eastAsia="仿宋_GB2312"/>
                <w:color w:val="000000"/>
                <w:kern w:val="0"/>
                <w:sz w:val="18"/>
                <w:szCs w:val="18"/>
              </w:rPr>
            </w:pPr>
            <w:r>
              <w:rPr>
                <w:rFonts w:eastAsia="仿宋_GB2312"/>
                <w:color w:val="000000"/>
                <w:kern w:val="0"/>
                <w:sz w:val="18"/>
                <w:szCs w:val="18"/>
              </w:rPr>
              <w:t>充分性</w:t>
            </w:r>
          </w:p>
        </w:tc>
        <w:tc>
          <w:tcPr>
            <w:tcW w:w="680"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项目立项是否符合法律法规、相关政策、发展规划以及部门职责，用以反映和考核项目立项依据情况。</w:t>
            </w:r>
          </w:p>
        </w:tc>
        <w:tc>
          <w:tcPr>
            <w:tcW w:w="2055"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①项目立项是否符合国家法律法规、国民经济发展规划和相关政策；</w:t>
            </w:r>
            <w:r>
              <w:rPr>
                <w:rFonts w:eastAsia="仿宋_GB2312"/>
                <w:color w:val="000000"/>
                <w:kern w:val="0"/>
                <w:sz w:val="18"/>
                <w:szCs w:val="18"/>
              </w:rPr>
              <w:br w:type="textWrapping"/>
            </w:r>
            <w:r>
              <w:rPr>
                <w:rFonts w:eastAsia="仿宋_GB2312"/>
                <w:color w:val="000000"/>
                <w:kern w:val="0"/>
                <w:sz w:val="18"/>
                <w:szCs w:val="18"/>
              </w:rPr>
              <w:t>②项目立项是否符合行业发展规划和政策要求；</w:t>
            </w:r>
            <w:r>
              <w:rPr>
                <w:rFonts w:eastAsia="仿宋_GB2312"/>
                <w:color w:val="000000"/>
                <w:kern w:val="0"/>
                <w:sz w:val="18"/>
                <w:szCs w:val="18"/>
              </w:rPr>
              <w:br w:type="textWrapping"/>
            </w:r>
            <w:r>
              <w:rPr>
                <w:rFonts w:eastAsia="仿宋_GB2312"/>
                <w:color w:val="000000"/>
                <w:kern w:val="0"/>
                <w:sz w:val="18"/>
                <w:szCs w:val="18"/>
              </w:rPr>
              <w:t>③项目立项是否与部门职责范围相符，属于部门履职所需；</w:t>
            </w:r>
            <w:r>
              <w:rPr>
                <w:rFonts w:eastAsia="仿宋_GB2312"/>
                <w:color w:val="000000"/>
                <w:kern w:val="0"/>
                <w:sz w:val="18"/>
                <w:szCs w:val="18"/>
              </w:rPr>
              <w:br w:type="textWrapping"/>
            </w:r>
            <w:r>
              <w:rPr>
                <w:rFonts w:eastAsia="仿宋_GB2312"/>
                <w:color w:val="000000"/>
                <w:kern w:val="0"/>
                <w:sz w:val="18"/>
                <w:szCs w:val="18"/>
              </w:rPr>
              <w:t>④项目是否属于公共财政支持范围，是否符合中央、地方事权支出责任划分原则；</w:t>
            </w:r>
            <w:r>
              <w:rPr>
                <w:rFonts w:eastAsia="仿宋_GB2312"/>
                <w:color w:val="000000"/>
                <w:kern w:val="0"/>
                <w:sz w:val="18"/>
                <w:szCs w:val="18"/>
              </w:rPr>
              <w:br w:type="textWrapping"/>
            </w:r>
            <w:r>
              <w:rPr>
                <w:rFonts w:eastAsia="仿宋_GB2312"/>
                <w:color w:val="000000"/>
                <w:kern w:val="0"/>
                <w:sz w:val="18"/>
                <w:szCs w:val="18"/>
              </w:rPr>
              <w:t>⑤项目是否与相关部门同类项目或部门内部相关项目重复。</w:t>
            </w:r>
          </w:p>
        </w:tc>
        <w:tc>
          <w:tcPr>
            <w:tcW w:w="512"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3</w:t>
            </w:r>
          </w:p>
        </w:tc>
        <w:tc>
          <w:tcPr>
            <w:tcW w:w="538"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noWrap w:val="0"/>
            <w:vAlign w:val="center"/>
          </w:tcPr>
          <w:p>
            <w:pPr>
              <w:spacing w:line="0" w:lineRule="atLeast"/>
              <w:rPr>
                <w:rFonts w:eastAsia="仿宋_GB2312"/>
                <w:color w:val="000000"/>
                <w:kern w:val="0"/>
                <w:sz w:val="18"/>
                <w:szCs w:val="18"/>
              </w:rPr>
            </w:pPr>
          </w:p>
        </w:tc>
        <w:tc>
          <w:tcPr>
            <w:tcW w:w="394"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立项程序</w:t>
            </w:r>
          </w:p>
          <w:p>
            <w:pPr>
              <w:widowControl/>
              <w:spacing w:line="0" w:lineRule="atLeast"/>
              <w:rPr>
                <w:rFonts w:eastAsia="仿宋_GB2312"/>
                <w:color w:val="000000"/>
                <w:kern w:val="0"/>
                <w:sz w:val="18"/>
                <w:szCs w:val="18"/>
              </w:rPr>
            </w:pPr>
            <w:r>
              <w:rPr>
                <w:rFonts w:eastAsia="仿宋_GB2312"/>
                <w:color w:val="000000"/>
                <w:kern w:val="0"/>
                <w:sz w:val="18"/>
                <w:szCs w:val="18"/>
              </w:rPr>
              <w:t>规范性</w:t>
            </w:r>
          </w:p>
        </w:tc>
        <w:tc>
          <w:tcPr>
            <w:tcW w:w="680"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项目申请、设立过程是否符合相关要求，用以反映和考核项目立项的规范情况。</w:t>
            </w:r>
          </w:p>
        </w:tc>
        <w:tc>
          <w:tcPr>
            <w:tcW w:w="2055"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①项目是否按照规定的程序申请设立；</w:t>
            </w:r>
            <w:r>
              <w:rPr>
                <w:rFonts w:eastAsia="仿宋_GB2312"/>
                <w:color w:val="000000"/>
                <w:kern w:val="0"/>
                <w:sz w:val="18"/>
                <w:szCs w:val="18"/>
              </w:rPr>
              <w:br w:type="textWrapping"/>
            </w:r>
            <w:r>
              <w:rPr>
                <w:rFonts w:eastAsia="仿宋_GB2312"/>
                <w:color w:val="000000"/>
                <w:kern w:val="0"/>
                <w:sz w:val="18"/>
                <w:szCs w:val="18"/>
              </w:rPr>
              <w:t>②审批文件、材料是否符合相关要求；</w:t>
            </w:r>
            <w:r>
              <w:rPr>
                <w:rFonts w:eastAsia="仿宋_GB2312"/>
                <w:color w:val="000000"/>
                <w:kern w:val="0"/>
                <w:sz w:val="18"/>
                <w:szCs w:val="18"/>
              </w:rPr>
              <w:br w:type="textWrapping"/>
            </w:r>
            <w:r>
              <w:rPr>
                <w:rFonts w:eastAsia="仿宋_GB2312"/>
                <w:color w:val="000000"/>
                <w:kern w:val="0"/>
                <w:sz w:val="18"/>
                <w:szCs w:val="18"/>
              </w:rPr>
              <w:t>③事前是否已经过必要的可行性研究、专家论证、风险评估、绩效评估、集体决策。</w:t>
            </w:r>
          </w:p>
        </w:tc>
        <w:tc>
          <w:tcPr>
            <w:tcW w:w="512"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3</w:t>
            </w:r>
          </w:p>
        </w:tc>
        <w:tc>
          <w:tcPr>
            <w:tcW w:w="538"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noWrap w:val="0"/>
            <w:vAlign w:val="center"/>
          </w:tcPr>
          <w:p>
            <w:pPr>
              <w:spacing w:line="0" w:lineRule="atLeast"/>
              <w:rPr>
                <w:rFonts w:eastAsia="仿宋_GB2312"/>
                <w:color w:val="000000"/>
                <w:kern w:val="0"/>
                <w:sz w:val="18"/>
                <w:szCs w:val="18"/>
              </w:rPr>
            </w:pPr>
          </w:p>
        </w:tc>
        <w:tc>
          <w:tcPr>
            <w:tcW w:w="394" w:type="pct"/>
            <w:vMerge w:val="restar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绩效目标　</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绩效目标</w:t>
            </w:r>
          </w:p>
          <w:p>
            <w:pPr>
              <w:widowControl/>
              <w:spacing w:line="0" w:lineRule="atLeast"/>
              <w:rPr>
                <w:rFonts w:eastAsia="仿宋_GB2312"/>
                <w:color w:val="000000"/>
                <w:kern w:val="0"/>
                <w:sz w:val="18"/>
                <w:szCs w:val="18"/>
              </w:rPr>
            </w:pPr>
            <w:r>
              <w:rPr>
                <w:rFonts w:eastAsia="仿宋_GB2312"/>
                <w:color w:val="000000"/>
                <w:kern w:val="0"/>
                <w:sz w:val="18"/>
                <w:szCs w:val="18"/>
              </w:rPr>
              <w:t>合理性</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（如未设定预算绩效目标，也可考核其他工作任务目标）</w:t>
            </w:r>
            <w:r>
              <w:rPr>
                <w:rFonts w:eastAsia="仿宋_GB2312"/>
                <w:color w:val="000000"/>
                <w:kern w:val="0"/>
                <w:sz w:val="18"/>
                <w:szCs w:val="18"/>
              </w:rPr>
              <w:br w:type="textWrapping"/>
            </w:r>
            <w:r>
              <w:rPr>
                <w:rFonts w:eastAsia="仿宋_GB2312"/>
                <w:color w:val="000000"/>
                <w:kern w:val="0"/>
                <w:sz w:val="18"/>
                <w:szCs w:val="18"/>
              </w:rPr>
              <w:t>①项目是否有绩效目标；</w:t>
            </w:r>
            <w:r>
              <w:rPr>
                <w:rFonts w:eastAsia="仿宋_GB2312"/>
                <w:color w:val="000000"/>
                <w:kern w:val="0"/>
                <w:sz w:val="18"/>
                <w:szCs w:val="18"/>
              </w:rPr>
              <w:br w:type="textWrapping"/>
            </w:r>
            <w:r>
              <w:rPr>
                <w:rFonts w:eastAsia="仿宋_GB2312"/>
                <w:color w:val="000000"/>
                <w:kern w:val="0"/>
                <w:sz w:val="18"/>
                <w:szCs w:val="18"/>
              </w:rPr>
              <w:t>②项目绩效目标与实际工作内容是否具有相关性；</w:t>
            </w:r>
            <w:r>
              <w:rPr>
                <w:rFonts w:eastAsia="仿宋_GB2312"/>
                <w:color w:val="000000"/>
                <w:kern w:val="0"/>
                <w:sz w:val="18"/>
                <w:szCs w:val="18"/>
              </w:rPr>
              <w:br w:type="textWrapping"/>
            </w:r>
            <w:r>
              <w:rPr>
                <w:rFonts w:eastAsia="仿宋_GB2312"/>
                <w:color w:val="000000"/>
                <w:kern w:val="0"/>
                <w:sz w:val="18"/>
                <w:szCs w:val="18"/>
              </w:rPr>
              <w:t>③项目预期产出效益和效果是否符合正常的业绩水平；</w:t>
            </w:r>
          </w:p>
          <w:p>
            <w:pPr>
              <w:widowControl/>
              <w:spacing w:line="0" w:lineRule="atLeast"/>
              <w:rPr>
                <w:rFonts w:eastAsia="仿宋_GB2312"/>
                <w:color w:val="000000"/>
                <w:kern w:val="0"/>
                <w:sz w:val="18"/>
                <w:szCs w:val="18"/>
              </w:rPr>
            </w:pPr>
            <w:r>
              <w:rPr>
                <w:rFonts w:eastAsia="仿宋_GB2312"/>
                <w:color w:val="000000"/>
                <w:kern w:val="0"/>
                <w:sz w:val="18"/>
                <w:szCs w:val="18"/>
              </w:rPr>
              <w:t>④是否与预算确定的项目投资额或资金量相匹配。</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3</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394"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绩效指标</w:t>
            </w:r>
          </w:p>
          <w:p>
            <w:pPr>
              <w:widowControl/>
              <w:spacing w:line="0" w:lineRule="atLeast"/>
              <w:rPr>
                <w:rFonts w:eastAsia="仿宋_GB2312"/>
                <w:color w:val="000000"/>
                <w:kern w:val="0"/>
                <w:sz w:val="18"/>
                <w:szCs w:val="18"/>
              </w:rPr>
            </w:pPr>
            <w:r>
              <w:rPr>
                <w:rFonts w:eastAsia="仿宋_GB2312"/>
                <w:color w:val="000000"/>
                <w:kern w:val="0"/>
                <w:sz w:val="18"/>
                <w:szCs w:val="18"/>
              </w:rPr>
              <w:t>明确性</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依据绩效目标设定的绩效指标是否清晰、细化、可衡量等，用以反映和考核项目绩效目标的明细化情况。</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①是否将项目绩效目标细化分解为具体的绩效指标；</w:t>
            </w:r>
            <w:r>
              <w:rPr>
                <w:rFonts w:eastAsia="仿宋_GB2312"/>
                <w:color w:val="000000"/>
                <w:kern w:val="0"/>
                <w:sz w:val="18"/>
                <w:szCs w:val="18"/>
              </w:rPr>
              <w:br w:type="textWrapping"/>
            </w:r>
            <w:r>
              <w:rPr>
                <w:rFonts w:eastAsia="仿宋_GB2312"/>
                <w:color w:val="000000"/>
                <w:kern w:val="0"/>
                <w:sz w:val="18"/>
                <w:szCs w:val="18"/>
              </w:rPr>
              <w:t>②是否通过清晰、可衡量的指标值予以体现；</w:t>
            </w:r>
            <w:r>
              <w:rPr>
                <w:rFonts w:eastAsia="仿宋_GB2312"/>
                <w:color w:val="000000"/>
                <w:kern w:val="0"/>
                <w:sz w:val="18"/>
                <w:szCs w:val="18"/>
              </w:rPr>
              <w:br w:type="textWrapping"/>
            </w:r>
            <w:r>
              <w:rPr>
                <w:rFonts w:eastAsia="仿宋_GB2312"/>
                <w:color w:val="000000"/>
                <w:kern w:val="0"/>
                <w:sz w:val="18"/>
                <w:szCs w:val="18"/>
              </w:rPr>
              <w:t>③是否与项目目标任务数或计划数相对应。</w:t>
            </w:r>
            <w:r>
              <w:rPr>
                <w:rFonts w:eastAsia="仿宋_GB2312"/>
                <w:color w:val="000000"/>
                <w:kern w:val="0"/>
                <w:sz w:val="18"/>
                <w:szCs w:val="18"/>
              </w:rPr>
              <w:br w:type="textWrapping"/>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3</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noWrap w:val="0"/>
            <w:vAlign w:val="center"/>
          </w:tcPr>
          <w:p>
            <w:pPr>
              <w:spacing w:line="0" w:lineRule="atLeast"/>
              <w:rPr>
                <w:rFonts w:eastAsia="仿宋_GB2312"/>
                <w:color w:val="000000"/>
                <w:kern w:val="0"/>
                <w:sz w:val="18"/>
                <w:szCs w:val="18"/>
              </w:rPr>
            </w:pPr>
          </w:p>
        </w:tc>
        <w:tc>
          <w:tcPr>
            <w:tcW w:w="394" w:type="pct"/>
            <w:vMerge w:val="restar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资金投入</w:t>
            </w:r>
          </w:p>
          <w:p>
            <w:pPr>
              <w:spacing w:line="0" w:lineRule="atLeast"/>
              <w:rPr>
                <w:rFonts w:eastAsia="仿宋_GB2312"/>
                <w:color w:val="000000"/>
                <w:kern w:val="0"/>
                <w:sz w:val="18"/>
                <w:szCs w:val="18"/>
              </w:rPr>
            </w:pPr>
            <w:r>
              <w:rPr>
                <w:rFonts w:eastAsia="仿宋_GB2312"/>
                <w:color w:val="000000"/>
                <w:kern w:val="0"/>
                <w:sz w:val="18"/>
                <w:szCs w:val="18"/>
              </w:rPr>
              <w:t>　</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预算编制</w:t>
            </w:r>
          </w:p>
          <w:p>
            <w:pPr>
              <w:widowControl/>
              <w:spacing w:line="0" w:lineRule="atLeast"/>
              <w:rPr>
                <w:rFonts w:eastAsia="仿宋_GB2312"/>
                <w:color w:val="000000"/>
                <w:kern w:val="0"/>
                <w:sz w:val="18"/>
                <w:szCs w:val="18"/>
              </w:rPr>
            </w:pPr>
            <w:r>
              <w:rPr>
                <w:rFonts w:eastAsia="仿宋_GB2312"/>
                <w:color w:val="000000"/>
                <w:kern w:val="0"/>
                <w:sz w:val="18"/>
                <w:szCs w:val="18"/>
              </w:rPr>
              <w:t>科学性</w:t>
            </w:r>
          </w:p>
        </w:tc>
        <w:tc>
          <w:tcPr>
            <w:tcW w:w="680"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①预算编制是否经过科学论证；</w:t>
            </w:r>
            <w:r>
              <w:rPr>
                <w:rFonts w:eastAsia="仿宋_GB2312"/>
                <w:color w:val="000000"/>
                <w:kern w:val="0"/>
                <w:sz w:val="18"/>
                <w:szCs w:val="18"/>
              </w:rPr>
              <w:br w:type="textWrapping"/>
            </w:r>
            <w:r>
              <w:rPr>
                <w:rFonts w:eastAsia="仿宋_GB2312"/>
                <w:color w:val="000000"/>
                <w:kern w:val="0"/>
                <w:sz w:val="18"/>
                <w:szCs w:val="18"/>
              </w:rPr>
              <w:t>②预算内容与项目内容是否匹配；</w:t>
            </w:r>
            <w:r>
              <w:rPr>
                <w:rFonts w:eastAsia="仿宋_GB2312"/>
                <w:color w:val="000000"/>
                <w:kern w:val="0"/>
                <w:sz w:val="18"/>
                <w:szCs w:val="18"/>
              </w:rPr>
              <w:br w:type="textWrapping"/>
            </w:r>
            <w:r>
              <w:rPr>
                <w:rFonts w:eastAsia="仿宋_GB2312"/>
                <w:color w:val="000000"/>
                <w:kern w:val="0"/>
                <w:sz w:val="18"/>
                <w:szCs w:val="18"/>
              </w:rPr>
              <w:t>③预算额度测算依据是否充分，是否按照标准编制；</w:t>
            </w:r>
            <w:r>
              <w:rPr>
                <w:rFonts w:eastAsia="仿宋_GB2312"/>
                <w:color w:val="000000"/>
                <w:kern w:val="0"/>
                <w:sz w:val="18"/>
                <w:szCs w:val="18"/>
              </w:rPr>
              <w:br w:type="textWrapping"/>
            </w:r>
            <w:r>
              <w:rPr>
                <w:rFonts w:eastAsia="仿宋_GB2312"/>
                <w:color w:val="000000"/>
                <w:kern w:val="0"/>
                <w:sz w:val="18"/>
                <w:szCs w:val="18"/>
              </w:rPr>
              <w:t>④预算确定的项目投资额或资金量是否与工作任务相匹配。</w:t>
            </w:r>
          </w:p>
        </w:tc>
        <w:tc>
          <w:tcPr>
            <w:tcW w:w="512"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394"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资金分配</w:t>
            </w:r>
          </w:p>
          <w:p>
            <w:pPr>
              <w:widowControl/>
              <w:spacing w:line="0" w:lineRule="atLeast"/>
              <w:rPr>
                <w:rFonts w:eastAsia="仿宋_GB2312"/>
                <w:color w:val="000000"/>
                <w:kern w:val="0"/>
                <w:sz w:val="18"/>
                <w:szCs w:val="18"/>
              </w:rPr>
            </w:pPr>
            <w:r>
              <w:rPr>
                <w:rFonts w:eastAsia="仿宋_GB2312"/>
                <w:color w:val="000000"/>
                <w:kern w:val="0"/>
                <w:sz w:val="18"/>
                <w:szCs w:val="18"/>
              </w:rPr>
              <w:t>合理性</w:t>
            </w:r>
          </w:p>
        </w:tc>
        <w:tc>
          <w:tcPr>
            <w:tcW w:w="680"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①预算资金分配依据是否充分；</w:t>
            </w:r>
            <w:r>
              <w:rPr>
                <w:rFonts w:eastAsia="仿宋_GB2312"/>
                <w:color w:val="000000"/>
                <w:kern w:val="0"/>
                <w:sz w:val="18"/>
                <w:szCs w:val="18"/>
              </w:rPr>
              <w:br w:type="textWrapping"/>
            </w:r>
            <w:r>
              <w:rPr>
                <w:rFonts w:eastAsia="仿宋_GB2312"/>
                <w:color w:val="000000"/>
                <w:kern w:val="0"/>
                <w:sz w:val="18"/>
                <w:szCs w:val="18"/>
              </w:rPr>
              <w:t>②资金分配额度是否合理，与项目单位或地方实际是否相适应。</w:t>
            </w:r>
          </w:p>
        </w:tc>
        <w:tc>
          <w:tcPr>
            <w:tcW w:w="512"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noWrap w:val="0"/>
            <w:vAlign w:val="center"/>
          </w:tcPr>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p>
          <w:p>
            <w:pPr>
              <w:spacing w:line="0" w:lineRule="atLeast"/>
              <w:rPr>
                <w:rFonts w:eastAsia="仿宋_GB2312"/>
                <w:color w:val="000000"/>
                <w:kern w:val="0"/>
                <w:sz w:val="18"/>
                <w:szCs w:val="18"/>
              </w:rPr>
            </w:pPr>
            <w:r>
              <w:rPr>
                <w:rFonts w:eastAsia="仿宋_GB2312"/>
                <w:color w:val="000000"/>
                <w:kern w:val="0"/>
                <w:sz w:val="18"/>
                <w:szCs w:val="18"/>
              </w:rPr>
              <w:t>过程</w:t>
            </w:r>
          </w:p>
          <w:p>
            <w:pPr>
              <w:widowControl/>
              <w:spacing w:line="0" w:lineRule="atLeast"/>
              <w:rPr>
                <w:rFonts w:eastAsia="仿宋_GB2312"/>
                <w:color w:val="000000"/>
                <w:kern w:val="0"/>
                <w:sz w:val="18"/>
                <w:szCs w:val="18"/>
              </w:rPr>
            </w:pPr>
            <w:r>
              <w:rPr>
                <w:rFonts w:eastAsia="仿宋_GB2312"/>
                <w:color w:val="000000"/>
                <w:kern w:val="0"/>
                <w:sz w:val="18"/>
                <w:szCs w:val="18"/>
              </w:rPr>
              <w:t>　　</w:t>
            </w:r>
          </w:p>
        </w:tc>
        <w:tc>
          <w:tcPr>
            <w:tcW w:w="394" w:type="pct"/>
            <w:vMerge w:val="restar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资金管理</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资金到位率</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实际到位资金与预算资金的比率，用以反映和考核资金落实情况对项目实施的总体保障程度。</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资金到位率=（实际到位资金/预算资金）×100%。</w:t>
            </w:r>
          </w:p>
          <w:p>
            <w:pPr>
              <w:widowControl/>
              <w:spacing w:line="0" w:lineRule="atLeast"/>
              <w:rPr>
                <w:rFonts w:eastAsia="仿宋_GB2312"/>
                <w:color w:val="000000"/>
                <w:kern w:val="0"/>
                <w:sz w:val="18"/>
                <w:szCs w:val="18"/>
              </w:rPr>
            </w:pPr>
            <w:r>
              <w:rPr>
                <w:rFonts w:eastAsia="仿宋_GB2312"/>
                <w:color w:val="000000"/>
                <w:kern w:val="0"/>
                <w:sz w:val="18"/>
                <w:szCs w:val="18"/>
              </w:rPr>
              <w:t>实际到位资金：一定时期（本年度或项目期）内落实到具体项目的资金。</w:t>
            </w:r>
          </w:p>
          <w:p>
            <w:pPr>
              <w:widowControl/>
              <w:spacing w:line="0" w:lineRule="atLeast"/>
              <w:rPr>
                <w:rFonts w:eastAsia="仿宋_GB2312"/>
                <w:color w:val="000000"/>
                <w:kern w:val="0"/>
                <w:sz w:val="18"/>
                <w:szCs w:val="18"/>
              </w:rPr>
            </w:pPr>
            <w:r>
              <w:rPr>
                <w:rFonts w:eastAsia="仿宋_GB2312"/>
                <w:color w:val="000000"/>
                <w:kern w:val="0"/>
                <w:sz w:val="18"/>
                <w:szCs w:val="18"/>
              </w:rPr>
              <w:t>预算资金：一定时期（本年度或项目期）内预算安排到具体项目的资金。</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noWrap w:val="0"/>
            <w:vAlign w:val="center"/>
          </w:tcPr>
          <w:p>
            <w:pPr>
              <w:spacing w:line="0" w:lineRule="atLeast"/>
              <w:rPr>
                <w:rFonts w:eastAsia="仿宋_GB2312"/>
                <w:color w:val="000000"/>
                <w:kern w:val="0"/>
                <w:sz w:val="18"/>
                <w:szCs w:val="18"/>
              </w:rPr>
            </w:pPr>
          </w:p>
        </w:tc>
        <w:tc>
          <w:tcPr>
            <w:tcW w:w="394" w:type="pct"/>
            <w:vMerge w:val="continue"/>
            <w:shd w:val="clear" w:color="auto" w:fill="FFFFFF"/>
            <w:noWrap w:val="0"/>
            <w:vAlign w:val="center"/>
          </w:tcPr>
          <w:p>
            <w:pPr>
              <w:spacing w:line="0" w:lineRule="atLeast"/>
              <w:rPr>
                <w:rFonts w:eastAsia="仿宋_GB2312"/>
                <w:color w:val="000000"/>
                <w:kern w:val="0"/>
                <w:sz w:val="18"/>
                <w:szCs w:val="18"/>
              </w:rPr>
            </w:pP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预算执行率</w:t>
            </w:r>
          </w:p>
        </w:tc>
        <w:tc>
          <w:tcPr>
            <w:tcW w:w="680"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项目预算资金是否按照计划执行，用以反映或考核项目预算执行情况。</w:t>
            </w:r>
          </w:p>
        </w:tc>
        <w:tc>
          <w:tcPr>
            <w:tcW w:w="2055"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预算执行率=（实际支出资金/实际到位资金）×100%。</w:t>
            </w:r>
            <w:r>
              <w:rPr>
                <w:rFonts w:eastAsia="仿宋_GB2312"/>
                <w:color w:val="000000"/>
                <w:kern w:val="0"/>
                <w:sz w:val="18"/>
                <w:szCs w:val="18"/>
              </w:rPr>
              <w:br w:type="textWrapping"/>
            </w:r>
            <w:r>
              <w:rPr>
                <w:rFonts w:eastAsia="仿宋_GB2312"/>
                <w:color w:val="000000"/>
                <w:kern w:val="0"/>
                <w:sz w:val="18"/>
                <w:szCs w:val="18"/>
              </w:rPr>
              <w:t>实际支出资金：一定时期（本年度或项目期）内项目实际拨付的资金。</w:t>
            </w:r>
          </w:p>
        </w:tc>
        <w:tc>
          <w:tcPr>
            <w:tcW w:w="512"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3.83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noWrap w:val="0"/>
            <w:vAlign w:val="center"/>
          </w:tcPr>
          <w:p>
            <w:pPr>
              <w:spacing w:line="0" w:lineRule="atLeast"/>
              <w:rPr>
                <w:rFonts w:eastAsia="仿宋_GB2312"/>
                <w:color w:val="000000"/>
                <w:kern w:val="0"/>
                <w:sz w:val="18"/>
                <w:szCs w:val="18"/>
              </w:rPr>
            </w:pPr>
          </w:p>
        </w:tc>
        <w:tc>
          <w:tcPr>
            <w:tcW w:w="394"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资金管理</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资金使用</w:t>
            </w:r>
          </w:p>
          <w:p>
            <w:pPr>
              <w:widowControl/>
              <w:spacing w:line="0" w:lineRule="atLeast"/>
              <w:rPr>
                <w:rFonts w:eastAsia="仿宋_GB2312"/>
                <w:color w:val="000000"/>
                <w:kern w:val="0"/>
                <w:sz w:val="18"/>
                <w:szCs w:val="18"/>
              </w:rPr>
            </w:pPr>
            <w:r>
              <w:rPr>
                <w:rFonts w:eastAsia="仿宋_GB2312"/>
                <w:color w:val="000000"/>
                <w:kern w:val="0"/>
                <w:sz w:val="18"/>
                <w:szCs w:val="18"/>
              </w:rPr>
              <w:t>合规性</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项目资金使用是否符合相关的财务管理制度规定，用以反映和考核项目资金的规范运行情况。</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①是否符合国家财经法规和财务管理制度以及有关专项资金管理办法的规定；</w:t>
            </w:r>
            <w:r>
              <w:rPr>
                <w:rFonts w:eastAsia="仿宋_GB2312"/>
                <w:color w:val="000000"/>
                <w:kern w:val="0"/>
                <w:sz w:val="18"/>
                <w:szCs w:val="18"/>
              </w:rPr>
              <w:br w:type="textWrapping"/>
            </w:r>
            <w:r>
              <w:rPr>
                <w:rFonts w:eastAsia="仿宋_GB2312"/>
                <w:color w:val="000000"/>
                <w:kern w:val="0"/>
                <w:sz w:val="18"/>
                <w:szCs w:val="18"/>
              </w:rPr>
              <w:t>②资金的拨付是否有完整的审批程序和手续；</w:t>
            </w:r>
            <w:r>
              <w:rPr>
                <w:rFonts w:eastAsia="仿宋_GB2312"/>
                <w:color w:val="000000"/>
                <w:kern w:val="0"/>
                <w:sz w:val="18"/>
                <w:szCs w:val="18"/>
              </w:rPr>
              <w:br w:type="textWrapping"/>
            </w:r>
            <w:r>
              <w:rPr>
                <w:rFonts w:eastAsia="仿宋_GB2312"/>
                <w:color w:val="000000"/>
                <w:kern w:val="0"/>
                <w:sz w:val="18"/>
                <w:szCs w:val="18"/>
              </w:rPr>
              <w:t>③是否符合项目预算批复或合同规定的用途；</w:t>
            </w:r>
            <w:r>
              <w:rPr>
                <w:rFonts w:eastAsia="仿宋_GB2312"/>
                <w:color w:val="000000"/>
                <w:kern w:val="0"/>
                <w:sz w:val="18"/>
                <w:szCs w:val="18"/>
              </w:rPr>
              <w:br w:type="textWrapping"/>
            </w:r>
            <w:r>
              <w:rPr>
                <w:rFonts w:eastAsia="仿宋_GB2312"/>
                <w:color w:val="000000"/>
                <w:kern w:val="0"/>
                <w:sz w:val="18"/>
                <w:szCs w:val="18"/>
              </w:rPr>
              <w:t>④是否存在截留、挤占、挪用、虚列支出等情况。</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noWrap w:val="0"/>
            <w:vAlign w:val="center"/>
          </w:tcPr>
          <w:p>
            <w:pPr>
              <w:spacing w:line="0" w:lineRule="atLeast"/>
              <w:rPr>
                <w:rFonts w:eastAsia="仿宋_GB2312"/>
                <w:color w:val="000000"/>
                <w:kern w:val="0"/>
                <w:sz w:val="18"/>
                <w:szCs w:val="18"/>
              </w:rPr>
            </w:pPr>
          </w:p>
        </w:tc>
        <w:tc>
          <w:tcPr>
            <w:tcW w:w="394" w:type="pct"/>
            <w:vMerge w:val="restar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组织实施</w:t>
            </w:r>
          </w:p>
          <w:p>
            <w:pPr>
              <w:spacing w:line="0" w:lineRule="atLeast"/>
              <w:rPr>
                <w:rFonts w:eastAsia="仿宋_GB2312"/>
                <w:color w:val="000000"/>
                <w:kern w:val="0"/>
                <w:sz w:val="18"/>
                <w:szCs w:val="18"/>
              </w:rPr>
            </w:pPr>
            <w:r>
              <w:rPr>
                <w:rFonts w:eastAsia="仿宋_GB2312"/>
                <w:color w:val="000000"/>
                <w:kern w:val="0"/>
                <w:sz w:val="18"/>
                <w:szCs w:val="18"/>
              </w:rPr>
              <w:t>　</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管理制度</w:t>
            </w:r>
          </w:p>
          <w:p>
            <w:pPr>
              <w:widowControl/>
              <w:spacing w:line="0" w:lineRule="atLeast"/>
              <w:rPr>
                <w:rFonts w:eastAsia="仿宋_GB2312"/>
                <w:color w:val="000000"/>
                <w:kern w:val="0"/>
                <w:sz w:val="18"/>
                <w:szCs w:val="18"/>
              </w:rPr>
            </w:pPr>
            <w:r>
              <w:rPr>
                <w:rFonts w:eastAsia="仿宋_GB2312"/>
                <w:color w:val="000000"/>
                <w:kern w:val="0"/>
                <w:sz w:val="18"/>
                <w:szCs w:val="18"/>
              </w:rPr>
              <w:t>健全性</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①是否已制定或具有相应的财务和业务管理制度；</w:t>
            </w:r>
            <w:r>
              <w:rPr>
                <w:rFonts w:eastAsia="仿宋_GB2312"/>
                <w:color w:val="000000"/>
                <w:kern w:val="0"/>
                <w:sz w:val="18"/>
                <w:szCs w:val="18"/>
              </w:rPr>
              <w:br w:type="textWrapping"/>
            </w:r>
            <w:r>
              <w:rPr>
                <w:rFonts w:eastAsia="仿宋_GB2312"/>
                <w:color w:val="000000"/>
                <w:kern w:val="0"/>
                <w:sz w:val="18"/>
                <w:szCs w:val="18"/>
              </w:rPr>
              <w:t>②财务和业务管理制度是否合法、合规、完整。</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394"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制度执行</w:t>
            </w:r>
          </w:p>
          <w:p>
            <w:pPr>
              <w:widowControl/>
              <w:spacing w:line="0" w:lineRule="atLeast"/>
              <w:rPr>
                <w:rFonts w:eastAsia="仿宋_GB2312"/>
                <w:color w:val="000000"/>
                <w:kern w:val="0"/>
                <w:sz w:val="18"/>
                <w:szCs w:val="18"/>
              </w:rPr>
            </w:pPr>
            <w:r>
              <w:rPr>
                <w:rFonts w:eastAsia="仿宋_GB2312"/>
                <w:color w:val="000000"/>
                <w:kern w:val="0"/>
                <w:sz w:val="18"/>
                <w:szCs w:val="18"/>
              </w:rPr>
              <w:t>有效性</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项目实施是否符合相关管理规定，用以反映和考核相关管理制度的有效执行情况。</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①是否遵守相关法律法规和相关管理规定；</w:t>
            </w:r>
            <w:r>
              <w:rPr>
                <w:rFonts w:eastAsia="仿宋_GB2312"/>
                <w:color w:val="000000"/>
                <w:kern w:val="0"/>
                <w:sz w:val="18"/>
                <w:szCs w:val="18"/>
              </w:rPr>
              <w:br w:type="textWrapping"/>
            </w:r>
            <w:r>
              <w:rPr>
                <w:rFonts w:eastAsia="仿宋_GB2312"/>
                <w:color w:val="000000"/>
                <w:kern w:val="0"/>
                <w:sz w:val="18"/>
                <w:szCs w:val="18"/>
              </w:rPr>
              <w:t>②项目调整及支出调整手续是否完备；</w:t>
            </w:r>
            <w:r>
              <w:rPr>
                <w:rFonts w:eastAsia="仿宋_GB2312"/>
                <w:color w:val="000000"/>
                <w:kern w:val="0"/>
                <w:sz w:val="18"/>
                <w:szCs w:val="18"/>
              </w:rPr>
              <w:br w:type="textWrapping"/>
            </w:r>
            <w:r>
              <w:rPr>
                <w:rFonts w:eastAsia="仿宋_GB2312"/>
                <w:color w:val="000000"/>
                <w:kern w:val="0"/>
                <w:sz w:val="18"/>
                <w:szCs w:val="18"/>
              </w:rPr>
              <w:t>③项目合同书、验收报告、技术鉴定等资料是否齐全并及时归档；</w:t>
            </w:r>
            <w:r>
              <w:rPr>
                <w:rFonts w:eastAsia="仿宋_GB2312"/>
                <w:color w:val="000000"/>
                <w:kern w:val="0"/>
                <w:sz w:val="18"/>
                <w:szCs w:val="18"/>
              </w:rPr>
              <w:br w:type="textWrapping"/>
            </w:r>
            <w:r>
              <w:rPr>
                <w:rFonts w:eastAsia="仿宋_GB2312"/>
                <w:color w:val="000000"/>
                <w:kern w:val="0"/>
                <w:sz w:val="18"/>
                <w:szCs w:val="18"/>
              </w:rPr>
              <w:t>④项目实施的人员条件、场地设备、信息支撑等是否落实到位。</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37" w:hRule="atLeast"/>
          <w:jc w:val="center"/>
        </w:trPr>
        <w:tc>
          <w:tcPr>
            <w:tcW w:w="396" w:type="pct"/>
            <w:vMerge w:val="restar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产出</w:t>
            </w:r>
          </w:p>
        </w:tc>
        <w:tc>
          <w:tcPr>
            <w:tcW w:w="394"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产出数量</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实际完成率</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项目实施的实际产出数与计划产出数的比率，用以反映和考核项目产出数量目标的实现程度。</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实际完成率=（实际产出数/计划产出数）×100%。</w:t>
            </w:r>
            <w:r>
              <w:rPr>
                <w:rFonts w:eastAsia="仿宋_GB2312"/>
                <w:color w:val="000000"/>
                <w:kern w:val="0"/>
                <w:sz w:val="18"/>
                <w:szCs w:val="18"/>
              </w:rPr>
              <w:br w:type="textWrapping"/>
            </w:r>
            <w:r>
              <w:rPr>
                <w:rFonts w:eastAsia="仿宋_GB2312"/>
                <w:color w:val="000000"/>
                <w:kern w:val="0"/>
                <w:sz w:val="18"/>
                <w:szCs w:val="18"/>
              </w:rPr>
              <w:t>实际产出数：一定时期（本年度或项目期）内项目实际产出的产品或提供的服务数量。</w:t>
            </w:r>
            <w:r>
              <w:rPr>
                <w:rFonts w:eastAsia="仿宋_GB2312"/>
                <w:color w:val="000000"/>
                <w:kern w:val="0"/>
                <w:sz w:val="18"/>
                <w:szCs w:val="18"/>
              </w:rPr>
              <w:br w:type="textWrapping"/>
            </w:r>
            <w:r>
              <w:rPr>
                <w:rFonts w:eastAsia="仿宋_GB2312"/>
                <w:color w:val="000000"/>
                <w:kern w:val="0"/>
                <w:sz w:val="18"/>
                <w:szCs w:val="18"/>
              </w:rPr>
              <w:t>计划产出数：项目绩效目标确定的在一定时期（本年度或项目期）内计划产出的产品或提供的服务数量。</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394"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产出质量</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质量达标率</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项目完成的质量达标产出数与实际产出数的比率，用以反映和考核项目产出质量目标的实现程度。</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质量达标率=（质量达标产出数/实际产出数）×100%。</w:t>
            </w:r>
          </w:p>
          <w:p>
            <w:pPr>
              <w:widowControl/>
              <w:spacing w:line="0" w:lineRule="atLeast"/>
              <w:rPr>
                <w:rFonts w:eastAsia="仿宋_GB2312"/>
                <w:color w:val="000000"/>
                <w:kern w:val="0"/>
                <w:sz w:val="18"/>
                <w:szCs w:val="18"/>
              </w:rPr>
            </w:pPr>
            <w:r>
              <w:rPr>
                <w:rFonts w:eastAsia="仿宋_GB2312"/>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noWrap w:val="0"/>
            <w:vAlign w:val="center"/>
          </w:tcPr>
          <w:p>
            <w:pPr>
              <w:spacing w:line="0" w:lineRule="atLeast"/>
              <w:rPr>
                <w:rFonts w:eastAsia="仿宋_GB2312"/>
                <w:color w:val="000000"/>
                <w:kern w:val="0"/>
                <w:sz w:val="18"/>
                <w:szCs w:val="18"/>
              </w:rPr>
            </w:pPr>
          </w:p>
        </w:tc>
        <w:tc>
          <w:tcPr>
            <w:tcW w:w="394" w:type="pct"/>
            <w:shd w:val="clear" w:color="auto" w:fill="FFFFFF"/>
            <w:noWrap w:val="0"/>
            <w:vAlign w:val="center"/>
          </w:tcPr>
          <w:p>
            <w:pPr>
              <w:spacing w:line="0" w:lineRule="atLeast"/>
              <w:rPr>
                <w:rFonts w:eastAsia="仿宋_GB2312"/>
                <w:color w:val="000000"/>
                <w:kern w:val="0"/>
                <w:sz w:val="18"/>
                <w:szCs w:val="18"/>
              </w:rPr>
            </w:pPr>
            <w:r>
              <w:rPr>
                <w:rFonts w:eastAsia="仿宋_GB2312"/>
                <w:color w:val="000000"/>
                <w:kern w:val="0"/>
                <w:sz w:val="18"/>
                <w:szCs w:val="18"/>
              </w:rPr>
              <w:t>产出时效</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完成及时性</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项目实际完成时间与计划完成时间的比较，用以反映和考核项目产出时效目标的实现程度。</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实际完成时间：项目实施单位完成该项目实际所耗用的时间。</w:t>
            </w:r>
            <w:r>
              <w:rPr>
                <w:rFonts w:eastAsia="仿宋_GB2312"/>
                <w:color w:val="000000"/>
                <w:kern w:val="0"/>
                <w:sz w:val="18"/>
                <w:szCs w:val="18"/>
              </w:rPr>
              <w:br w:type="textWrapping"/>
            </w:r>
            <w:r>
              <w:rPr>
                <w:rFonts w:eastAsia="仿宋_GB2312"/>
                <w:color w:val="000000"/>
                <w:kern w:val="0"/>
                <w:sz w:val="18"/>
                <w:szCs w:val="18"/>
              </w:rPr>
              <w:t>计划完成时间：按照项目实施计划或相关规定完成该项目所需的时间。</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394"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产出成本</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成本节约率</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完成项目计划工作目标的实际节约成本与计划成本的比率，用以反映和考核项目的成本节约程度。</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br w:type="textWrapping"/>
            </w:r>
            <w:r>
              <w:rPr>
                <w:rFonts w:eastAsia="仿宋_GB2312"/>
                <w:color w:val="000000"/>
                <w:kern w:val="0"/>
                <w:sz w:val="18"/>
                <w:szCs w:val="18"/>
              </w:rPr>
              <w:t>成本节约率=[（计划成本-实际成本）/计划成本]×100%。</w:t>
            </w:r>
            <w:r>
              <w:rPr>
                <w:rFonts w:eastAsia="仿宋_GB2312"/>
                <w:color w:val="000000"/>
                <w:kern w:val="0"/>
                <w:sz w:val="18"/>
                <w:szCs w:val="18"/>
              </w:rPr>
              <w:br w:type="textWrapping"/>
            </w:r>
            <w:r>
              <w:rPr>
                <w:rFonts w:eastAsia="仿宋_GB2312"/>
                <w:color w:val="000000"/>
                <w:kern w:val="0"/>
                <w:sz w:val="18"/>
                <w:szCs w:val="18"/>
              </w:rPr>
              <w:t>实际成本：项目实施单位如期、保质、保量完成既定工作目标实际所耗费的支出。</w:t>
            </w:r>
            <w:r>
              <w:rPr>
                <w:rFonts w:eastAsia="仿宋_GB2312"/>
                <w:color w:val="000000"/>
                <w:kern w:val="0"/>
                <w:sz w:val="18"/>
                <w:szCs w:val="18"/>
              </w:rPr>
              <w:br w:type="textWrapping"/>
            </w:r>
            <w:r>
              <w:rPr>
                <w:rFonts w:eastAsia="仿宋_GB2312"/>
                <w:color w:val="000000"/>
                <w:kern w:val="0"/>
                <w:sz w:val="18"/>
                <w:szCs w:val="18"/>
              </w:rPr>
              <w:t>计划成本：项目实施单位为完成工作目标计划安排的支出，一般以项目预算为参考。</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效益　</w:t>
            </w:r>
          </w:p>
        </w:tc>
        <w:tc>
          <w:tcPr>
            <w:tcW w:w="394" w:type="pct"/>
            <w:vMerge w:val="restar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项目效益　</w:t>
            </w: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实施效益</w:t>
            </w:r>
          </w:p>
        </w:tc>
        <w:tc>
          <w:tcPr>
            <w:tcW w:w="680"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项目实施所产生的效益。</w:t>
            </w:r>
          </w:p>
        </w:tc>
        <w:tc>
          <w:tcPr>
            <w:tcW w:w="2055"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项目实施所产生的社会效益、经济效益、生态效益、可持续影响等。可根据项目实际情况有选择地设置和细化。</w:t>
            </w:r>
          </w:p>
        </w:tc>
        <w:tc>
          <w:tcPr>
            <w:tcW w:w="512"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auto"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394" w:type="pct"/>
            <w:vMerge w:val="continue"/>
            <w:shd w:val="clear" w:color="auto" w:fill="FFFFFF"/>
            <w:noWrap w:val="0"/>
            <w:vAlign w:val="center"/>
          </w:tcPr>
          <w:p>
            <w:pPr>
              <w:widowControl/>
              <w:spacing w:line="0" w:lineRule="atLeast"/>
              <w:rPr>
                <w:rFonts w:eastAsia="仿宋_GB2312"/>
                <w:color w:val="000000"/>
                <w:kern w:val="0"/>
                <w:sz w:val="18"/>
                <w:szCs w:val="18"/>
              </w:rPr>
            </w:pPr>
          </w:p>
        </w:tc>
        <w:tc>
          <w:tcPr>
            <w:tcW w:w="422" w:type="pct"/>
            <w:shd w:val="clear" w:color="auto"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满意度</w:t>
            </w:r>
          </w:p>
        </w:tc>
        <w:tc>
          <w:tcPr>
            <w:tcW w:w="680"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社会公众或服务对象对项目实施效果的满意程度。</w:t>
            </w:r>
          </w:p>
        </w:tc>
        <w:tc>
          <w:tcPr>
            <w:tcW w:w="2055" w:type="pct"/>
            <w:shd w:val="clear" w:color="000000" w:fill="FFFFFF"/>
            <w:noWrap w:val="0"/>
            <w:vAlign w:val="center"/>
          </w:tcPr>
          <w:p>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社会公众或服务对象是指因该项目实施而受到影响的部门（单位）、群体或个人。一般采取社会调查的方式。</w:t>
            </w:r>
          </w:p>
        </w:tc>
        <w:tc>
          <w:tcPr>
            <w:tcW w:w="512"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noWrap w:val="0"/>
            <w:vAlign w:val="center"/>
          </w:tcPr>
          <w:p>
            <w:pPr>
              <w:widowControl/>
              <w:spacing w:line="0" w:lineRule="atLeast"/>
              <w:rPr>
                <w:rFonts w:eastAsia="仿宋_GB2312"/>
                <w:b/>
                <w:bCs/>
                <w:color w:val="000000"/>
                <w:kern w:val="0"/>
                <w:sz w:val="18"/>
                <w:szCs w:val="18"/>
              </w:rPr>
            </w:pPr>
            <w:r>
              <w:rPr>
                <w:rFonts w:eastAsia="仿宋_GB2312"/>
                <w:b/>
                <w:bCs/>
                <w:color w:val="000000"/>
                <w:kern w:val="0"/>
                <w:sz w:val="18"/>
                <w:szCs w:val="18"/>
              </w:rPr>
              <w:t>10</w:t>
            </w:r>
          </w:p>
        </w:tc>
      </w:tr>
    </w:tbl>
    <w:p>
      <w:pPr>
        <w:sectPr>
          <w:pgSz w:w="16838" w:h="11906" w:orient="landscape"/>
          <w:pgMar w:top="1800" w:right="1440" w:bottom="1558" w:left="1440" w:header="851" w:footer="992" w:gutter="0"/>
          <w:pgNumType w:fmt="numberInDash"/>
          <w:cols w:space="720" w:num="1"/>
          <w:docGrid w:type="lines" w:linePitch="312" w:charSpace="0"/>
        </w:sectPr>
      </w:pPr>
    </w:p>
    <w:p>
      <w:pPr>
        <w:spacing w:line="240" w:lineRule="atLeast"/>
        <w:rPr>
          <w:rFonts w:eastAsia="黑体"/>
          <w:b/>
          <w:bCs/>
          <w:color w:val="000000"/>
          <w:kern w:val="0"/>
          <w:sz w:val="32"/>
          <w:szCs w:val="32"/>
          <w:lang w:bidi="ar"/>
        </w:rPr>
      </w:pPr>
      <w:r>
        <w:rPr>
          <w:rFonts w:eastAsia="黑体"/>
          <w:b/>
          <w:bCs/>
          <w:color w:val="000000"/>
          <w:kern w:val="0"/>
          <w:sz w:val="32"/>
          <w:szCs w:val="32"/>
          <w:lang w:bidi="ar"/>
        </w:rPr>
        <w:t>附件2</w:t>
      </w:r>
    </w:p>
    <w:p>
      <w:pPr>
        <w:spacing w:line="240" w:lineRule="atLeast"/>
        <w:jc w:val="center"/>
        <w:rPr>
          <w:rFonts w:eastAsia="仿宋_GB2312"/>
          <w:b/>
          <w:bCs/>
          <w:color w:val="000000"/>
          <w:kern w:val="0"/>
          <w:sz w:val="28"/>
          <w:szCs w:val="28"/>
          <w:lang w:bidi="ar"/>
        </w:rPr>
      </w:pPr>
      <w:r>
        <w:rPr>
          <w:rFonts w:eastAsia="仿宋_GB2312"/>
          <w:b/>
          <w:bCs/>
          <w:color w:val="000000"/>
          <w:kern w:val="0"/>
          <w:sz w:val="28"/>
          <w:szCs w:val="28"/>
          <w:lang w:bidi="ar"/>
        </w:rPr>
        <w:t>项目支出绩效自评表</w:t>
      </w:r>
    </w:p>
    <w:p>
      <w:pPr>
        <w:spacing w:line="240" w:lineRule="atLeast"/>
        <w:jc w:val="center"/>
        <w:rPr>
          <w:rFonts w:eastAsia="仿宋_GB2312"/>
          <w:b/>
          <w:bCs/>
          <w:color w:val="000000"/>
          <w:kern w:val="0"/>
          <w:sz w:val="22"/>
          <w:szCs w:val="22"/>
          <w:lang w:bidi="ar"/>
        </w:rPr>
      </w:pPr>
      <w:r>
        <w:rPr>
          <w:rFonts w:eastAsia="仿宋_GB2312"/>
          <w:b/>
          <w:bCs/>
          <w:color w:val="000000"/>
          <w:kern w:val="0"/>
          <w:sz w:val="22"/>
          <w:szCs w:val="22"/>
          <w:lang w:bidi="ar"/>
        </w:rPr>
        <w:t>（ 2024年度）</w:t>
      </w:r>
    </w:p>
    <w:tbl>
      <w:tblPr>
        <w:tblStyle w:val="14"/>
        <w:tblW w:w="4999" w:type="pct"/>
        <w:tblInd w:w="0" w:type="dxa"/>
        <w:tblLayout w:type="autofit"/>
        <w:tblCellMar>
          <w:top w:w="0" w:type="dxa"/>
          <w:left w:w="108" w:type="dxa"/>
          <w:bottom w:w="0" w:type="dxa"/>
          <w:right w:w="108" w:type="dxa"/>
        </w:tblCellMar>
      </w:tblPr>
      <w:tblGrid>
        <w:gridCol w:w="645"/>
        <w:gridCol w:w="653"/>
        <w:gridCol w:w="847"/>
        <w:gridCol w:w="1218"/>
        <w:gridCol w:w="749"/>
        <w:gridCol w:w="1331"/>
        <w:gridCol w:w="858"/>
        <w:gridCol w:w="926"/>
        <w:gridCol w:w="932"/>
        <w:gridCol w:w="1040"/>
        <w:gridCol w:w="1159"/>
        <w:gridCol w:w="861"/>
        <w:gridCol w:w="677"/>
        <w:gridCol w:w="2275"/>
      </w:tblGrid>
      <w:tr>
        <w:tblPrEx>
          <w:tblCellMar>
            <w:top w:w="0" w:type="dxa"/>
            <w:left w:w="108" w:type="dxa"/>
            <w:bottom w:w="0" w:type="dxa"/>
            <w:right w:w="108" w:type="dxa"/>
          </w:tblCellMar>
        </w:tblPrEx>
        <w:trPr>
          <w:trHeight w:val="600" w:hRule="atLeast"/>
        </w:trPr>
        <w:tc>
          <w:tcPr>
            <w:tcW w:w="46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项目名称</w:t>
            </w:r>
          </w:p>
        </w:tc>
        <w:tc>
          <w:tcPr>
            <w:tcW w:w="4535" w:type="pct"/>
            <w:gridSpan w:val="1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数字化发展专项业务经费</w:t>
            </w:r>
          </w:p>
        </w:tc>
      </w:tr>
      <w:tr>
        <w:tblPrEx>
          <w:tblCellMar>
            <w:top w:w="0" w:type="dxa"/>
            <w:left w:w="108" w:type="dxa"/>
            <w:bottom w:w="0" w:type="dxa"/>
            <w:right w:w="108" w:type="dxa"/>
          </w:tblCellMar>
        </w:tblPrEx>
        <w:trPr>
          <w:trHeight w:val="600" w:hRule="atLeast"/>
        </w:trPr>
        <w:tc>
          <w:tcPr>
            <w:tcW w:w="46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主管部门</w:t>
            </w:r>
          </w:p>
        </w:tc>
        <w:tc>
          <w:tcPr>
            <w:tcW w:w="1780"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自治区财政厅</w:t>
            </w:r>
          </w:p>
        </w:tc>
        <w:tc>
          <w:tcPr>
            <w:tcW w:w="6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实施单位</w:t>
            </w:r>
          </w:p>
        </w:tc>
        <w:tc>
          <w:tcPr>
            <w:tcW w:w="2093"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新疆维吾尔自治区数字化发展局</w:t>
            </w:r>
          </w:p>
        </w:tc>
      </w:tr>
      <w:tr>
        <w:tblPrEx>
          <w:tblCellMar>
            <w:top w:w="0" w:type="dxa"/>
            <w:left w:w="108" w:type="dxa"/>
            <w:bottom w:w="0" w:type="dxa"/>
            <w:right w:w="108" w:type="dxa"/>
          </w:tblCellMar>
        </w:tblPrEx>
        <w:trPr>
          <w:trHeight w:val="600" w:hRule="atLeast"/>
        </w:trPr>
        <w:tc>
          <w:tcPr>
            <w:tcW w:w="465"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项目资金</w:t>
            </w:r>
            <w:r>
              <w:rPr>
                <w:color w:val="000000"/>
                <w:kern w:val="0"/>
                <w:sz w:val="18"/>
                <w:szCs w:val="18"/>
                <w:lang w:bidi="ar"/>
              </w:rPr>
              <w:br w:type="textWrapping"/>
            </w:r>
            <w:r>
              <w:rPr>
                <w:color w:val="000000"/>
                <w:kern w:val="0"/>
                <w:sz w:val="18"/>
                <w:szCs w:val="18"/>
                <w:lang w:bidi="ar"/>
              </w:rPr>
              <w:t>（万元）</w:t>
            </w:r>
          </w:p>
        </w:tc>
        <w:tc>
          <w:tcPr>
            <w:tcW w:w="73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c</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年初预算数</w:t>
            </w:r>
          </w:p>
        </w:tc>
        <w:tc>
          <w:tcPr>
            <w:tcW w:w="779"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全年预算数</w:t>
            </w:r>
          </w:p>
        </w:tc>
        <w:tc>
          <w:tcPr>
            <w:tcW w:w="6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全年执行数</w:t>
            </w:r>
          </w:p>
        </w:tc>
        <w:tc>
          <w:tcPr>
            <w:tcW w:w="78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分值权重</w:t>
            </w:r>
          </w:p>
        </w:tc>
        <w:tc>
          <w:tcPr>
            <w:tcW w:w="50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执行率</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得分</w:t>
            </w:r>
          </w:p>
        </w:tc>
      </w:tr>
      <w:tr>
        <w:tblPrEx>
          <w:tblCellMar>
            <w:top w:w="0" w:type="dxa"/>
            <w:left w:w="108" w:type="dxa"/>
            <w:bottom w:w="0" w:type="dxa"/>
            <w:right w:w="108" w:type="dxa"/>
          </w:tblCellMar>
        </w:tblPrEx>
        <w:trPr>
          <w:trHeight w:val="600" w:hRule="atLeast"/>
        </w:trPr>
        <w:tc>
          <w:tcPr>
            <w:tcW w:w="46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73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年度资金总额</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375</w:t>
            </w:r>
          </w:p>
        </w:tc>
        <w:tc>
          <w:tcPr>
            <w:tcW w:w="779"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375</w:t>
            </w:r>
          </w:p>
        </w:tc>
        <w:tc>
          <w:tcPr>
            <w:tcW w:w="6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358.86</w:t>
            </w:r>
          </w:p>
        </w:tc>
        <w:tc>
          <w:tcPr>
            <w:tcW w:w="78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w:t>
            </w:r>
          </w:p>
        </w:tc>
        <w:tc>
          <w:tcPr>
            <w:tcW w:w="50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95.70%</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9.57</w:t>
            </w:r>
          </w:p>
        </w:tc>
      </w:tr>
      <w:tr>
        <w:tblPrEx>
          <w:tblCellMar>
            <w:top w:w="0" w:type="dxa"/>
            <w:left w:w="108" w:type="dxa"/>
            <w:bottom w:w="0" w:type="dxa"/>
            <w:right w:w="108" w:type="dxa"/>
          </w:tblCellMar>
        </w:tblPrEx>
        <w:trPr>
          <w:trHeight w:val="600" w:hRule="atLeast"/>
        </w:trPr>
        <w:tc>
          <w:tcPr>
            <w:tcW w:w="46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735"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其中：当年财政拨款</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 xml:space="preserve">375.00 </w:t>
            </w:r>
          </w:p>
        </w:tc>
        <w:tc>
          <w:tcPr>
            <w:tcW w:w="779"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 xml:space="preserve">375.00 </w:t>
            </w:r>
          </w:p>
        </w:tc>
        <w:tc>
          <w:tcPr>
            <w:tcW w:w="66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358.86</w:t>
            </w:r>
          </w:p>
        </w:tc>
        <w:tc>
          <w:tcPr>
            <w:tcW w:w="78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50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r>
      <w:tr>
        <w:tblPrEx>
          <w:tblCellMar>
            <w:top w:w="0" w:type="dxa"/>
            <w:left w:w="108" w:type="dxa"/>
            <w:bottom w:w="0" w:type="dxa"/>
            <w:right w:w="108" w:type="dxa"/>
          </w:tblCellMar>
        </w:tblPrEx>
        <w:trPr>
          <w:trHeight w:val="600" w:hRule="atLeast"/>
        </w:trPr>
        <w:tc>
          <w:tcPr>
            <w:tcW w:w="465"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735" w:type="pct"/>
            <w:gridSpan w:val="2"/>
            <w:tcBorders>
              <w:top w:val="single" w:color="000000" w:sz="4" w:space="0"/>
              <w:left w:val="single" w:color="000000" w:sz="4" w:space="0"/>
              <w:bottom w:val="nil"/>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其他资金</w:t>
            </w:r>
          </w:p>
        </w:tc>
        <w:tc>
          <w:tcPr>
            <w:tcW w:w="267" w:type="pct"/>
            <w:tcBorders>
              <w:top w:val="single" w:color="000000" w:sz="4" w:space="0"/>
              <w:left w:val="single" w:color="000000" w:sz="4" w:space="0"/>
              <w:bottom w:val="nil"/>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0</w:t>
            </w:r>
          </w:p>
        </w:tc>
        <w:tc>
          <w:tcPr>
            <w:tcW w:w="779" w:type="pct"/>
            <w:gridSpan w:val="2"/>
            <w:tcBorders>
              <w:top w:val="single" w:color="000000" w:sz="4" w:space="0"/>
              <w:left w:val="single" w:color="000000" w:sz="4" w:space="0"/>
              <w:bottom w:val="nil"/>
              <w:right w:val="single" w:color="000000" w:sz="4" w:space="0"/>
            </w:tcBorders>
            <w:noWrap w:val="0"/>
            <w:vAlign w:val="center"/>
          </w:tcPr>
          <w:p>
            <w:pPr>
              <w:rPr>
                <w:color w:val="000000"/>
                <w:sz w:val="18"/>
                <w:szCs w:val="18"/>
              </w:rPr>
            </w:pPr>
          </w:p>
        </w:tc>
        <w:tc>
          <w:tcPr>
            <w:tcW w:w="662" w:type="pct"/>
            <w:gridSpan w:val="2"/>
            <w:tcBorders>
              <w:top w:val="single" w:color="000000" w:sz="4" w:space="0"/>
              <w:left w:val="single" w:color="000000" w:sz="4" w:space="0"/>
              <w:bottom w:val="nil"/>
              <w:right w:val="single" w:color="000000" w:sz="4" w:space="0"/>
            </w:tcBorders>
            <w:noWrap w:val="0"/>
            <w:vAlign w:val="center"/>
          </w:tcPr>
          <w:p>
            <w:pPr>
              <w:rPr>
                <w:color w:val="000000"/>
                <w:sz w:val="18"/>
                <w:szCs w:val="18"/>
              </w:rPr>
            </w:pPr>
          </w:p>
        </w:tc>
        <w:tc>
          <w:tcPr>
            <w:tcW w:w="782"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504" w:type="pct"/>
            <w:gridSpan w:val="2"/>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r>
      <w:tr>
        <w:tblPrEx>
          <w:tblCellMar>
            <w:top w:w="0" w:type="dxa"/>
            <w:left w:w="108" w:type="dxa"/>
            <w:bottom w:w="0" w:type="dxa"/>
            <w:right w:w="108" w:type="dxa"/>
          </w:tblCellMar>
        </w:tblPrEx>
        <w:trPr>
          <w:trHeight w:val="600" w:hRule="atLeast"/>
        </w:trPr>
        <w:tc>
          <w:tcPr>
            <w:tcW w:w="231"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年度总体目标</w:t>
            </w:r>
          </w:p>
        </w:tc>
        <w:tc>
          <w:tcPr>
            <w:tcW w:w="2676" w:type="pct"/>
            <w:gridSpan w:val="8"/>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总体目标</w:t>
            </w:r>
          </w:p>
        </w:tc>
        <w:tc>
          <w:tcPr>
            <w:tcW w:w="2093"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总体目标完成情况</w:t>
            </w:r>
          </w:p>
        </w:tc>
      </w:tr>
      <w:tr>
        <w:tblPrEx>
          <w:tblCellMar>
            <w:top w:w="0" w:type="dxa"/>
            <w:left w:w="108" w:type="dxa"/>
            <w:bottom w:w="0" w:type="dxa"/>
            <w:right w:w="108" w:type="dxa"/>
          </w:tblCellMar>
        </w:tblPrEx>
        <w:trPr>
          <w:trHeight w:val="192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676" w:type="pct"/>
            <w:gridSpan w:val="8"/>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2024年，我局通过完成政务信息化政策标准制定、数据一体化标准编制、公共数据授权和数据要素交易课题研究报告编制、自治区“一网统管”各类成果等工作，加快建设数字经济、数字社会、数字政府，以数字化转型整体驱动生产方式、生活方式和治理方式变革，持续推动自治区数字政府基础设施集约化、政府决策科学化、行政办公高效化、公共服务便捷化、社会治理精准化，有序推动全区数字政府建设。</w:t>
            </w:r>
          </w:p>
        </w:tc>
        <w:tc>
          <w:tcPr>
            <w:tcW w:w="2093"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截止2024年12月31日，我局已完成政务信息化政策标准制定、数据一体化标准编制、公共数据授权和数据要素交易课题研究报告编制及自治区“一网统管”成果编制工作，持续推动自治区数字政府基础设施集约化、政府决策科学化、政府决策科学化、行政办公高效化、公共服务便捷化、社会治理精准化、推动自治区数字政府建设摆出坚实步伐。</w:t>
            </w:r>
          </w:p>
        </w:tc>
      </w:tr>
      <w:tr>
        <w:tblPrEx>
          <w:tblCellMar>
            <w:top w:w="0" w:type="dxa"/>
            <w:left w:w="108" w:type="dxa"/>
            <w:bottom w:w="0" w:type="dxa"/>
            <w:right w:w="108" w:type="dxa"/>
          </w:tblCellMar>
        </w:tblPrEx>
        <w:trPr>
          <w:trHeight w:val="600" w:hRule="atLeast"/>
        </w:trPr>
        <w:tc>
          <w:tcPr>
            <w:tcW w:w="231"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一级指标</w:t>
            </w:r>
          </w:p>
        </w:tc>
        <w:tc>
          <w:tcPr>
            <w:tcW w:w="30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二级指标</w:t>
            </w: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三级指标</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指标值</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指标值设置依据</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上年完成值</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指标分值权重</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指标赋分规则</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佐证资料</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指标实际完成值</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完成率</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指标得分</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偏差原因分析及改进措施</w:t>
            </w:r>
          </w:p>
        </w:tc>
      </w:tr>
      <w:tr>
        <w:tblPrEx>
          <w:tblCellMar>
            <w:top w:w="0" w:type="dxa"/>
            <w:left w:w="108" w:type="dxa"/>
            <w:bottom w:w="0" w:type="dxa"/>
            <w:right w:w="108" w:type="dxa"/>
          </w:tblCellMar>
        </w:tblPrEx>
        <w:trPr>
          <w:trHeight w:val="1080" w:hRule="atLeast"/>
        </w:trPr>
        <w:tc>
          <w:tcPr>
            <w:tcW w:w="231"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年度绩效指标完成情况</w:t>
            </w:r>
          </w:p>
        </w:tc>
        <w:tc>
          <w:tcPr>
            <w:tcW w:w="234"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产出指标</w:t>
            </w:r>
          </w:p>
        </w:tc>
        <w:tc>
          <w:tcPr>
            <w:tcW w:w="302"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数量指标</w:t>
            </w: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完成政务信息化政策标准制定</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&gt;=1项</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计划标准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工作资料</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6"/>
                <w:szCs w:val="16"/>
              </w:rPr>
            </w:pPr>
            <w:r>
              <w:rPr>
                <w:color w:val="000000"/>
                <w:kern w:val="0"/>
                <w:sz w:val="16"/>
                <w:szCs w:val="16"/>
                <w:lang w:bidi="ar"/>
              </w:rPr>
              <w:t>1项</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FF0000"/>
                <w:sz w:val="18"/>
                <w:szCs w:val="18"/>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编制完成数据一体化标准</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&gt;=5项</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计划标准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工作资料</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5项</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完成公共数据授权和数据要素交易课题研究报告</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&gt;=1个</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计划标准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工作资料</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eastAsia="宋体"/>
                <w:color w:val="000000"/>
                <w:sz w:val="18"/>
                <w:szCs w:val="18"/>
              </w:rPr>
            </w:pPr>
            <w:r>
              <w:rPr>
                <w:kern w:val="0"/>
                <w:sz w:val="18"/>
                <w:szCs w:val="18"/>
              </w:rPr>
              <w:t>1个</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完成自治区“一网统管”各类成果</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&gt;=1个</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计划标准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工作资料</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eastAsia="宋体"/>
                <w:color w:val="000000"/>
                <w:sz w:val="18"/>
                <w:szCs w:val="18"/>
              </w:rPr>
            </w:pPr>
            <w:r>
              <w:rPr>
                <w:kern w:val="0"/>
                <w:sz w:val="18"/>
                <w:szCs w:val="18"/>
              </w:rPr>
              <w:t>1个</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0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质量指标</w:t>
            </w: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完成各项工作质量达标率</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计划标准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工作资料</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Cs w:val="21"/>
              </w:rPr>
            </w:pPr>
            <w:r>
              <w:rPr>
                <w:color w:val="000000"/>
                <w:kern w:val="0"/>
                <w:sz w:val="18"/>
                <w:szCs w:val="18"/>
                <w:lang w:bidi="ar"/>
              </w:rPr>
              <w:t>100%</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0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时效指标</w:t>
            </w: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项目按期完成率</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&gt;=90%</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计划标准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工作资料</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Cs w:val="21"/>
              </w:rPr>
            </w:pPr>
            <w:r>
              <w:rPr>
                <w:color w:val="000000"/>
                <w:kern w:val="0"/>
                <w:sz w:val="18"/>
                <w:szCs w:val="18"/>
                <w:lang w:bidi="ar"/>
              </w:rPr>
              <w:t>100%</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111.11%</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sz w:val="18"/>
                <w:szCs w:val="18"/>
              </w:rPr>
              <w:t>10</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b/>
                <w:bCs/>
                <w:color w:val="000000"/>
                <w:sz w:val="18"/>
                <w:szCs w:val="18"/>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成本指标</w:t>
            </w:r>
          </w:p>
        </w:tc>
        <w:tc>
          <w:tcPr>
            <w:tcW w:w="302"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经济成本指标</w:t>
            </w: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政务信息化项目成本</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&lt;=34万元</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预算支出标准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原始凭证</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31.8万元</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kern w:val="0"/>
                <w:sz w:val="18"/>
                <w:szCs w:val="18"/>
                <w:lang w:bidi="ar"/>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数据一体化编制成本</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&lt;=42万元</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预算支出标准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原始凭证</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32.85万元</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kern w:val="0"/>
                <w:sz w:val="18"/>
                <w:szCs w:val="18"/>
                <w:lang w:bidi="ar"/>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公共数据授权和数据要素交易课题研究项目</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&lt;=40万元</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预算支出标准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原始凭证</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39.8万元</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kern w:val="0"/>
                <w:sz w:val="18"/>
                <w:szCs w:val="18"/>
                <w:lang w:bidi="ar"/>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02"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“一网统管”规划服务项目成本</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&lt;=120万元</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预算支出标准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按照完成比例赋分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原始凭证</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118.5万元</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5</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kern w:val="0"/>
                <w:sz w:val="18"/>
                <w:szCs w:val="18"/>
                <w:lang w:bidi="ar"/>
              </w:rPr>
            </w:pPr>
          </w:p>
        </w:tc>
      </w:tr>
      <w:tr>
        <w:tblPrEx>
          <w:tblCellMar>
            <w:top w:w="0" w:type="dxa"/>
            <w:left w:w="108" w:type="dxa"/>
            <w:bottom w:w="0" w:type="dxa"/>
            <w:right w:w="108" w:type="dxa"/>
          </w:tblCellMar>
        </w:tblPrEx>
        <w:trPr>
          <w:trHeight w:val="600"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效益指标</w:t>
            </w:r>
          </w:p>
        </w:tc>
        <w:tc>
          <w:tcPr>
            <w:tcW w:w="30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社会效益指标</w:t>
            </w: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有序推动全区数字政府建设</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有序推动</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其他标准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20</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按评判等级赋分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说明材料</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有序推动</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20</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r>
      <w:tr>
        <w:tblPrEx>
          <w:tblCellMar>
            <w:top w:w="0" w:type="dxa"/>
            <w:left w:w="108" w:type="dxa"/>
            <w:bottom w:w="0" w:type="dxa"/>
            <w:right w:w="108" w:type="dxa"/>
          </w:tblCellMar>
        </w:tblPrEx>
        <w:trPr>
          <w:trHeight w:val="399" w:hRule="atLeast"/>
        </w:trPr>
        <w:tc>
          <w:tcPr>
            <w:tcW w:w="231" w:type="pct"/>
            <w:vMerge w:val="continue"/>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34"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满意度指标</w:t>
            </w:r>
          </w:p>
        </w:tc>
        <w:tc>
          <w:tcPr>
            <w:tcW w:w="30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满意度指标</w:t>
            </w:r>
          </w:p>
        </w:tc>
        <w:tc>
          <w:tcPr>
            <w:tcW w:w="43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使用部门满意度</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&gt;=90%</w:t>
            </w:r>
          </w:p>
        </w:tc>
        <w:tc>
          <w:tcPr>
            <w:tcW w:w="473"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计划标准</w:t>
            </w: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w:t>
            </w: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满意度赋分</w:t>
            </w: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工作资料</w:t>
            </w: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90%</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100.00%</w:t>
            </w: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kern w:val="0"/>
                <w:sz w:val="18"/>
                <w:szCs w:val="18"/>
                <w:lang w:bidi="ar"/>
              </w:rPr>
              <w:t>10</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r>
      <w:tr>
        <w:tblPrEx>
          <w:tblCellMar>
            <w:top w:w="0" w:type="dxa"/>
            <w:left w:w="108" w:type="dxa"/>
            <w:bottom w:w="0" w:type="dxa"/>
            <w:right w:w="108" w:type="dxa"/>
          </w:tblCellMar>
        </w:tblPrEx>
        <w:trPr>
          <w:trHeight w:val="399" w:hRule="atLeast"/>
        </w:trPr>
        <w:tc>
          <w:tcPr>
            <w:tcW w:w="1200" w:type="pct"/>
            <w:gridSpan w:val="4"/>
            <w:tcBorders>
              <w:top w:val="single" w:color="000000" w:sz="4" w:space="0"/>
              <w:left w:val="single" w:color="000000" w:sz="4" w:space="0"/>
              <w:bottom w:val="single" w:color="000000" w:sz="4" w:space="0"/>
              <w:right w:val="nil"/>
            </w:tcBorders>
            <w:noWrap w:val="0"/>
            <w:vAlign w:val="center"/>
          </w:tcPr>
          <w:p>
            <w:pPr>
              <w:widowControl/>
              <w:textAlignment w:val="center"/>
              <w:rPr>
                <w:color w:val="000000"/>
                <w:sz w:val="18"/>
                <w:szCs w:val="18"/>
              </w:rPr>
            </w:pPr>
            <w:r>
              <w:rPr>
                <w:color w:val="000000"/>
                <w:kern w:val="0"/>
                <w:sz w:val="18"/>
                <w:szCs w:val="18"/>
                <w:lang w:bidi="ar"/>
              </w:rPr>
              <w:t>总分</w:t>
            </w:r>
          </w:p>
        </w:tc>
        <w:tc>
          <w:tcPr>
            <w:tcW w:w="267"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473" w:type="pct"/>
            <w:tcBorders>
              <w:top w:val="single" w:color="000000" w:sz="4" w:space="0"/>
              <w:left w:val="nil"/>
              <w:bottom w:val="single" w:color="000000" w:sz="4" w:space="0"/>
              <w:right w:val="single" w:color="000000" w:sz="4" w:space="0"/>
            </w:tcBorders>
            <w:noWrap w:val="0"/>
            <w:vAlign w:val="center"/>
          </w:tcPr>
          <w:p>
            <w:pPr>
              <w:rPr>
                <w:b/>
                <w:bCs/>
                <w:color w:val="000000"/>
                <w:sz w:val="18"/>
                <w:szCs w:val="18"/>
              </w:rPr>
            </w:pPr>
          </w:p>
        </w:tc>
        <w:tc>
          <w:tcPr>
            <w:tcW w:w="306"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30"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370"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412"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c>
          <w:tcPr>
            <w:tcW w:w="242" w:type="pct"/>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color w:val="000000"/>
                <w:sz w:val="18"/>
                <w:szCs w:val="18"/>
              </w:rPr>
            </w:pPr>
            <w:r>
              <w:rPr>
                <w:color w:val="000000"/>
                <w:sz w:val="18"/>
                <w:szCs w:val="18"/>
              </w:rPr>
              <w:t>90</w:t>
            </w:r>
          </w:p>
        </w:tc>
        <w:tc>
          <w:tcPr>
            <w:tcW w:w="807" w:type="pct"/>
            <w:tcBorders>
              <w:top w:val="single" w:color="000000" w:sz="4" w:space="0"/>
              <w:left w:val="single" w:color="000000" w:sz="4" w:space="0"/>
              <w:bottom w:val="single" w:color="000000" w:sz="4" w:space="0"/>
              <w:right w:val="single" w:color="000000" w:sz="4" w:space="0"/>
            </w:tcBorders>
            <w:noWrap w:val="0"/>
            <w:vAlign w:val="center"/>
          </w:tcPr>
          <w:p>
            <w:pPr>
              <w:rPr>
                <w:color w:val="000000"/>
                <w:sz w:val="18"/>
                <w:szCs w:val="18"/>
              </w:rPr>
            </w:pPr>
          </w:p>
        </w:tc>
      </w:tr>
    </w:tbl>
    <w:p/>
    <w:sectPr>
      <w:pgSz w:w="16838" w:h="11906" w:orient="landscape"/>
      <w:pgMar w:top="1800" w:right="1440" w:bottom="1558" w:left="144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jc w:val="cente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13</w:t>
                          </w:r>
                          <w:r>
                            <w:rPr>
                              <w:rFonts w:ascii="Times New Roman" w:hAnsi="Times New Roman"/>
                              <w:sz w:val="21"/>
                              <w:szCs w:val="21"/>
                            </w:rPr>
                            <w:fldChar w:fldCharType="end"/>
                          </w:r>
                        </w:p>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pPr>
                      <w:pStyle w:val="7"/>
                      <w:jc w:val="cente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13</w:t>
                    </w:r>
                    <w:r>
                      <w:rPr>
                        <w:rFonts w:ascii="Times New Roman" w:hAnsi="Times New Roman"/>
                        <w:sz w:val="21"/>
                        <w:szCs w:val="21"/>
                      </w:rPr>
                      <w:fldChar w:fldCharType="end"/>
                    </w:r>
                  </w:p>
                  <w:p/>
                </w:txbxContent>
              </v:textbox>
            </v:shape>
          </w:pict>
        </mc:Fallback>
      </mc:AlternateContent>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0A65C3"/>
    <w:rsid w:val="000D39AA"/>
    <w:rsid w:val="000E1E7C"/>
    <w:rsid w:val="000F30A7"/>
    <w:rsid w:val="00103981"/>
    <w:rsid w:val="001147D4"/>
    <w:rsid w:val="00116B1B"/>
    <w:rsid w:val="00153F30"/>
    <w:rsid w:val="0017366F"/>
    <w:rsid w:val="00180AA5"/>
    <w:rsid w:val="00181142"/>
    <w:rsid w:val="001D33B8"/>
    <w:rsid w:val="0020540F"/>
    <w:rsid w:val="00205F78"/>
    <w:rsid w:val="00206CD8"/>
    <w:rsid w:val="002439EF"/>
    <w:rsid w:val="00256DC1"/>
    <w:rsid w:val="00274097"/>
    <w:rsid w:val="002B566F"/>
    <w:rsid w:val="00311E1B"/>
    <w:rsid w:val="00371A70"/>
    <w:rsid w:val="00391D32"/>
    <w:rsid w:val="003D08A1"/>
    <w:rsid w:val="004319A0"/>
    <w:rsid w:val="004414D4"/>
    <w:rsid w:val="00470ABF"/>
    <w:rsid w:val="00492BFE"/>
    <w:rsid w:val="00496965"/>
    <w:rsid w:val="0052547E"/>
    <w:rsid w:val="00575F78"/>
    <w:rsid w:val="005B18B2"/>
    <w:rsid w:val="005D6FDA"/>
    <w:rsid w:val="00637C82"/>
    <w:rsid w:val="0067712E"/>
    <w:rsid w:val="00694BB1"/>
    <w:rsid w:val="006C37B4"/>
    <w:rsid w:val="006F7242"/>
    <w:rsid w:val="00732C76"/>
    <w:rsid w:val="007421BE"/>
    <w:rsid w:val="00756621"/>
    <w:rsid w:val="00762C08"/>
    <w:rsid w:val="0077329D"/>
    <w:rsid w:val="007923D4"/>
    <w:rsid w:val="00795E71"/>
    <w:rsid w:val="007B168A"/>
    <w:rsid w:val="00834DA3"/>
    <w:rsid w:val="00875707"/>
    <w:rsid w:val="008940E2"/>
    <w:rsid w:val="008B2CFE"/>
    <w:rsid w:val="008C511D"/>
    <w:rsid w:val="008D44FA"/>
    <w:rsid w:val="008D5A87"/>
    <w:rsid w:val="008E7AE0"/>
    <w:rsid w:val="00911F71"/>
    <w:rsid w:val="00933147"/>
    <w:rsid w:val="00941D09"/>
    <w:rsid w:val="00942D2F"/>
    <w:rsid w:val="009528B8"/>
    <w:rsid w:val="009637EC"/>
    <w:rsid w:val="00964FF4"/>
    <w:rsid w:val="00974B5A"/>
    <w:rsid w:val="009853BE"/>
    <w:rsid w:val="009B357B"/>
    <w:rsid w:val="00A01E6E"/>
    <w:rsid w:val="00A128E0"/>
    <w:rsid w:val="00A27EB6"/>
    <w:rsid w:val="00A8005F"/>
    <w:rsid w:val="00AB492C"/>
    <w:rsid w:val="00AF50AB"/>
    <w:rsid w:val="00B05952"/>
    <w:rsid w:val="00B3052C"/>
    <w:rsid w:val="00B729DE"/>
    <w:rsid w:val="00B80DF7"/>
    <w:rsid w:val="00B8330E"/>
    <w:rsid w:val="00BB53BD"/>
    <w:rsid w:val="00BC1F33"/>
    <w:rsid w:val="00BE7788"/>
    <w:rsid w:val="00BF3CA3"/>
    <w:rsid w:val="00BF69BA"/>
    <w:rsid w:val="00C02552"/>
    <w:rsid w:val="00C26A10"/>
    <w:rsid w:val="00C27E7F"/>
    <w:rsid w:val="00C3254E"/>
    <w:rsid w:val="00C42142"/>
    <w:rsid w:val="00C54506"/>
    <w:rsid w:val="00C5637F"/>
    <w:rsid w:val="00C92FB1"/>
    <w:rsid w:val="00CA1D21"/>
    <w:rsid w:val="00CA764E"/>
    <w:rsid w:val="00D32B67"/>
    <w:rsid w:val="00D44B01"/>
    <w:rsid w:val="00DC082A"/>
    <w:rsid w:val="00DC378F"/>
    <w:rsid w:val="00DC5D7D"/>
    <w:rsid w:val="00DD6F9E"/>
    <w:rsid w:val="00E06006"/>
    <w:rsid w:val="00E15878"/>
    <w:rsid w:val="00E41A72"/>
    <w:rsid w:val="00E4278A"/>
    <w:rsid w:val="00E8410D"/>
    <w:rsid w:val="00E95932"/>
    <w:rsid w:val="00EB0F32"/>
    <w:rsid w:val="00EB690E"/>
    <w:rsid w:val="00ED152E"/>
    <w:rsid w:val="00F07ECB"/>
    <w:rsid w:val="00F26FF6"/>
    <w:rsid w:val="00F36183"/>
    <w:rsid w:val="00F535A4"/>
    <w:rsid w:val="00F541F4"/>
    <w:rsid w:val="00FB1A7A"/>
    <w:rsid w:val="00FB6133"/>
    <w:rsid w:val="00FD1657"/>
    <w:rsid w:val="00FE5D7B"/>
    <w:rsid w:val="01610122"/>
    <w:rsid w:val="02510197"/>
    <w:rsid w:val="03EC461B"/>
    <w:rsid w:val="07397B77"/>
    <w:rsid w:val="08834E65"/>
    <w:rsid w:val="0AD007F3"/>
    <w:rsid w:val="0E3C619F"/>
    <w:rsid w:val="11170296"/>
    <w:rsid w:val="13471461"/>
    <w:rsid w:val="13B90F01"/>
    <w:rsid w:val="155E4C4D"/>
    <w:rsid w:val="17462648"/>
    <w:rsid w:val="181066D2"/>
    <w:rsid w:val="1BD71D81"/>
    <w:rsid w:val="1C671E73"/>
    <w:rsid w:val="1D1125A5"/>
    <w:rsid w:val="1D322C47"/>
    <w:rsid w:val="20347EE2"/>
    <w:rsid w:val="221B6425"/>
    <w:rsid w:val="23616034"/>
    <w:rsid w:val="23D4607E"/>
    <w:rsid w:val="24480FA2"/>
    <w:rsid w:val="25227A45"/>
    <w:rsid w:val="26AC3A6A"/>
    <w:rsid w:val="281178FD"/>
    <w:rsid w:val="2B9D7E25"/>
    <w:rsid w:val="2C7C7A3B"/>
    <w:rsid w:val="2EFC0D68"/>
    <w:rsid w:val="2F364819"/>
    <w:rsid w:val="2FD63906"/>
    <w:rsid w:val="37215DAE"/>
    <w:rsid w:val="38CA40DD"/>
    <w:rsid w:val="395F2B56"/>
    <w:rsid w:val="3BBA0580"/>
    <w:rsid w:val="3BECE841"/>
    <w:rsid w:val="3CDE204C"/>
    <w:rsid w:val="3D363C36"/>
    <w:rsid w:val="3E9C3F6D"/>
    <w:rsid w:val="3FF7797D"/>
    <w:rsid w:val="46690BD8"/>
    <w:rsid w:val="49F70BF1"/>
    <w:rsid w:val="4B4340EE"/>
    <w:rsid w:val="4BF06537"/>
    <w:rsid w:val="4EFD2E63"/>
    <w:rsid w:val="503D507A"/>
    <w:rsid w:val="50CF6E36"/>
    <w:rsid w:val="51945CBA"/>
    <w:rsid w:val="51FA74D0"/>
    <w:rsid w:val="52AA4A52"/>
    <w:rsid w:val="53E946CA"/>
    <w:rsid w:val="593C3089"/>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20118A6"/>
    <w:rsid w:val="62A274F4"/>
    <w:rsid w:val="642B176B"/>
    <w:rsid w:val="643EE26D"/>
    <w:rsid w:val="656019A0"/>
    <w:rsid w:val="65F242EE"/>
    <w:rsid w:val="666D7E19"/>
    <w:rsid w:val="68376930"/>
    <w:rsid w:val="68F91E38"/>
    <w:rsid w:val="69767E03"/>
    <w:rsid w:val="6B3158B9"/>
    <w:rsid w:val="6BA02A3F"/>
    <w:rsid w:val="6C1E5A53"/>
    <w:rsid w:val="6DD20F3C"/>
    <w:rsid w:val="6F5C41AC"/>
    <w:rsid w:val="6FAF6C78"/>
    <w:rsid w:val="716167CC"/>
    <w:rsid w:val="718A7AD1"/>
    <w:rsid w:val="72A44BC2"/>
    <w:rsid w:val="7317C656"/>
    <w:rsid w:val="734ED73F"/>
    <w:rsid w:val="73C82B32"/>
    <w:rsid w:val="73F94DAE"/>
    <w:rsid w:val="74220495"/>
    <w:rsid w:val="747D1B6F"/>
    <w:rsid w:val="749E5641"/>
    <w:rsid w:val="76271066"/>
    <w:rsid w:val="76AA1D79"/>
    <w:rsid w:val="77FD8BE9"/>
    <w:rsid w:val="78000AED"/>
    <w:rsid w:val="78105027"/>
    <w:rsid w:val="79A9BD3F"/>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widowControl/>
      <w:spacing w:before="240" w:after="60"/>
      <w:jc w:val="left"/>
      <w:outlineLvl w:val="2"/>
    </w:pPr>
    <w:rPr>
      <w:rFonts w:ascii="Calibri Light" w:hAnsi="Calibri Light" w:eastAsia="宋体"/>
      <w:b/>
      <w:bCs/>
      <w:kern w:val="0"/>
      <w:sz w:val="26"/>
      <w:szCs w:val="26"/>
    </w:rPr>
  </w:style>
  <w:style w:type="character" w:default="1" w:styleId="15">
    <w:name w:val="Default Paragraph Font"/>
    <w:unhideWhenUsed/>
    <w:qFormat/>
    <w:uiPriority w:val="1"/>
  </w:style>
  <w:style w:type="table" w:default="1" w:styleId="14">
    <w:name w:val="Normal Table"/>
    <w:unhideWhenUsed/>
    <w:qFormat/>
    <w:uiPriority w:val="99"/>
    <w:tblPr>
      <w:tblStyle w:val="14"/>
      <w:tblCellMar>
        <w:top w:w="0" w:type="dxa"/>
        <w:left w:w="108" w:type="dxa"/>
        <w:bottom w:w="0" w:type="dxa"/>
        <w:right w:w="108" w:type="dxa"/>
      </w:tblCellMar>
    </w:tblPr>
  </w:style>
  <w:style w:type="paragraph" w:styleId="3">
    <w:name w:val="annotation text"/>
    <w:basedOn w:val="1"/>
    <w:link w:val="18"/>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19"/>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kern w:val="0"/>
      <w:sz w:val="24"/>
    </w:rPr>
  </w:style>
  <w:style w:type="paragraph" w:styleId="10">
    <w:name w:val="Title"/>
    <w:basedOn w:val="1"/>
    <w:next w:val="1"/>
    <w:link w:val="21"/>
    <w:qFormat/>
    <w:uiPriority w:val="10"/>
    <w:pPr>
      <w:widowControl/>
      <w:spacing w:before="240" w:after="60"/>
      <w:jc w:val="center"/>
      <w:outlineLvl w:val="0"/>
    </w:pPr>
    <w:rPr>
      <w:rFonts w:ascii="Calibri Light" w:hAnsi="Calibri Light" w:eastAsia="宋体"/>
      <w:b/>
      <w:bCs/>
      <w:kern w:val="28"/>
      <w:sz w:val="32"/>
      <w:szCs w:val="32"/>
    </w:rPr>
  </w:style>
  <w:style w:type="paragraph" w:styleId="11">
    <w:name w:val="annotation subject"/>
    <w:basedOn w:val="3"/>
    <w:next w:val="3"/>
    <w:link w:val="22"/>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批注文字 字符"/>
    <w:basedOn w:val="15"/>
    <w:link w:val="3"/>
    <w:qFormat/>
    <w:uiPriority w:val="0"/>
    <w:rPr>
      <w:rFonts w:ascii="Times New Roman" w:hAnsi="Times New Roman" w:eastAsia="宋体" w:cs="Times New Roman"/>
      <w:kern w:val="2"/>
      <w:sz w:val="21"/>
      <w:szCs w:val="24"/>
    </w:rPr>
  </w:style>
  <w:style w:type="character" w:customStyle="1" w:styleId="19">
    <w:name w:val="批注框文本 字符"/>
    <w:basedOn w:val="15"/>
    <w:link w:val="6"/>
    <w:qFormat/>
    <w:uiPriority w:val="0"/>
    <w:rPr>
      <w:rFonts w:ascii="Times New Roman" w:hAnsi="Times New Roman" w:eastAsia="宋体" w:cs="Times New Roman"/>
      <w:kern w:val="2"/>
      <w:sz w:val="18"/>
      <w:szCs w:val="18"/>
    </w:rPr>
  </w:style>
  <w:style w:type="character" w:customStyle="1" w:styleId="20">
    <w:name w:val="页眉 字符"/>
    <w:basedOn w:val="15"/>
    <w:link w:val="8"/>
    <w:qFormat/>
    <w:uiPriority w:val="0"/>
    <w:rPr>
      <w:rFonts w:ascii="Times New Roman" w:hAnsi="Times New Roman" w:eastAsia="宋体" w:cs="Times New Roman"/>
      <w:kern w:val="2"/>
      <w:sz w:val="18"/>
      <w:szCs w:val="18"/>
    </w:rPr>
  </w:style>
  <w:style w:type="character" w:customStyle="1" w:styleId="21">
    <w:name w:val="标题 字符"/>
    <w:basedOn w:val="15"/>
    <w:link w:val="10"/>
    <w:qFormat/>
    <w:uiPriority w:val="10"/>
    <w:rPr>
      <w:rFonts w:ascii="Calibri Light" w:hAnsi="Calibri Light" w:eastAsia="宋体"/>
      <w:b/>
      <w:bCs/>
      <w:kern w:val="28"/>
      <w:sz w:val="32"/>
      <w:szCs w:val="32"/>
    </w:rPr>
  </w:style>
  <w:style w:type="character" w:customStyle="1" w:styleId="22">
    <w:name w:val="批注主题 字符"/>
    <w:basedOn w:val="18"/>
    <w:link w:val="11"/>
    <w:qFormat/>
    <w:uiPriority w:val="0"/>
    <w:rPr>
      <w:rFonts w:ascii="Times New Roman" w:hAnsi="Times New Roman" w:eastAsia="宋体" w:cs="Times New Roman"/>
      <w:b/>
      <w:bCs/>
      <w:kern w:val="2"/>
      <w:sz w:val="21"/>
      <w:szCs w:val="24"/>
    </w:rPr>
  </w:style>
  <w:style w:type="character" w:customStyle="1" w:styleId="23">
    <w:name w:val="fontstyle01"/>
    <w:qFormat/>
    <w:uiPriority w:val="0"/>
    <w:rPr>
      <w:rFonts w:ascii="仿宋_GB2312" w:hAnsi="仿宋_GB2312" w:eastAsia="仿宋_GB2312" w:cs="仿宋_GB2312"/>
      <w:color w:val="000000"/>
      <w:sz w:val="32"/>
      <w:szCs w:val="32"/>
    </w:rPr>
  </w:style>
  <w:style w:type="paragraph" w:customStyle="1" w:styleId="24">
    <w:name w:val="闻政-正文段落文字"/>
    <w:basedOn w:val="1"/>
    <w:qFormat/>
    <w:uiPriority w:val="3"/>
    <w:pPr>
      <w:spacing w:line="500" w:lineRule="exact"/>
      <w:ind w:firstLine="200"/>
    </w:pPr>
    <w:rPr>
      <w:kern w:val="0"/>
      <w:szCs w:val="28"/>
    </w:rPr>
  </w:style>
  <w:style w:type="character" w:customStyle="1" w:styleId="25">
    <w:name w:val="font112"/>
    <w:basedOn w:val="15"/>
    <w:qFormat/>
    <w:uiPriority w:val="0"/>
    <w:rPr>
      <w:rFonts w:ascii="Calibri" w:hAnsi="Calibri" w:cs="Calibri"/>
      <w:color w:val="000000"/>
      <w:sz w:val="21"/>
      <w:szCs w:val="21"/>
      <w:u w:val="none"/>
    </w:rPr>
  </w:style>
  <w:style w:type="character" w:customStyle="1" w:styleId="26">
    <w:name w:val="font121"/>
    <w:basedOn w:val="15"/>
    <w:qFormat/>
    <w:uiPriority w:val="0"/>
    <w:rPr>
      <w:rFonts w:hint="eastAsia" w:ascii="宋体" w:hAnsi="宋体" w:eastAsia="宋体" w:cs="宋体"/>
      <w:color w:val="000000"/>
      <w:sz w:val="21"/>
      <w:szCs w:val="21"/>
      <w:u w:val="none"/>
    </w:rPr>
  </w:style>
  <w:style w:type="character" w:customStyle="1" w:styleId="27">
    <w:name w:val="font71"/>
    <w:basedOn w:val="15"/>
    <w:qFormat/>
    <w:uiPriority w:val="0"/>
    <w:rPr>
      <w:rFonts w:hint="default" w:ascii="Calibri" w:hAnsi="Calibri" w:cs="Calibri"/>
      <w:color w:val="000000"/>
      <w:sz w:val="21"/>
      <w:szCs w:val="21"/>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7496</Words>
  <Characters>7796</Characters>
  <Lines>649</Lines>
  <Paragraphs>527</Paragraphs>
  <TotalTime>0</TotalTime>
  <ScaleCrop>false</ScaleCrop>
  <LinksUpToDate>false</LinksUpToDate>
  <CharactersWithSpaces>14765</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2025-04-18T03:05:00Z</dcterms:created>
  <dc:creator>审核人</dc:creator>
  <cp:lastModifiedBy>admin</cp:lastModifiedBy>
  <cp:lastPrinted>2025-04-16T09:22:00Z</cp:lastPrinted>
  <dcterms:modified xsi:type="dcterms:W3CDTF">2025-08-25T09:13:03Z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C3D8758FD13146998774B65A708ECC7E_13</vt:lpwstr>
  </property>
  <property fmtid="{D5CDD505-2E9C-101B-9397-08002B2CF9AE}" pid="4" name="KSOTemplateDocerSaveRecord">
    <vt:lpwstr>eyJoZGlkIjoiOGEzNDg2NzdlZjJjNGNkMGM4NjIzNWI0ZDYwZDJkMzQiLCJ1c2VySWQiOiIzOTM2MTUzNzAifQ==</vt:lpwstr>
  </property>
</Properties>
</file>